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D8DA3" Type="http://schemas.openxmlformats.org/officeDocument/2006/relationships/officeDocument" Target="/word/document.xml" /><Relationship Id="coreR300D8DA3" Type="http://schemas.openxmlformats.org/package/2006/relationships/metadata/core-properties" Target="/docProps/core.xml" /><Relationship Id="customR300D8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rekonstrukcí protierozních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protierozních opatřeních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(AOs) měla připraveny alespoň dvě varianty podkladů a příkladů pro přezkoušení. Kompetenci Orientace ve vodohospodářských normách, standardech, legislativě a dokumentaci se zaměřením na meliorační stavby a opatření, kritérium h) zkouší AOs uchazeče s použitím "Územně plánovací dokumentace" (ÚPD), kritérium i) zkouší AOs uchazeče s použitím "Plánu společných zařízení".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Plánování údržby, oprav a rekonstrukcí odvodňovacích soustav, kritérium a), d) a e) zkouší AOs uchazeče s použitím "Projektové dokumentace" (PD).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Jednání s investory a správními orgány v rámci melioračních staveb, kritérium a) zkouší AOs uchazeče prakticky s použitím ÚPD, kritérium d) zkouší AOs uchazeče s použitím projektu "Komplexní pozemková úprava" (KPÚ).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Provádění kontrolní činnosti a organizace prací na odvodňovacích soustavách, kritérium b), c), d) a e) zkouší AOs uchazeče prakticky s použitím "Projektové dokumentace" (PD).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