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C9289" Type="http://schemas.openxmlformats.org/officeDocument/2006/relationships/officeDocument" Target="/word/document.xml" /><Relationship Id="coreR5EBC9289" Type="http://schemas.openxmlformats.org/package/2006/relationships/metadata/core-properties" Target="/docProps/core.xml" /><Relationship Id="customR5EBC9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rekonstrukcí protierozních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organizace prací na protierozních opatřeních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20.10.2026 6:40:46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aby věděl, co je náplní jednotlivých zákonů. Podrobně je třeba vysvětlit pouze to, co je přímo uvedeno v hodnoticím standardu.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(AOs) měla připraveny alespoň dvě varianty podkladů a příkladů pro přezkoušení. Kompetenci Orientace ve vodohospodářských normách, standardech, legislativě a dokumentaci se zaměřením na meliorační stavby a opatření, kritérium h) zkouší AOs uchazeče s použitím "Územně plánovací dokumentace" (ÚPD), kritérium i) zkouší AOs uchazeče s použitím "Plánu společných zařízení".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Plánování údržby, oprav a rekonstrukcí odvodňovacích soustav, kritérium a), d) a e) zkouší AOs uchazeče s použitím "Projektové dokumentace" (PD).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Jednání s investory a správními orgány v rámci melioračních staveb, kritérium a) zkouší AOs uchazeče prakticky s použitím ÚPD, kritérium d) zkouší AOs uchazeče s použitím projektu "Komplexní pozemková úprava" (KPÚ).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Provádění kontrolní činnosti a organizace prací na odvodňovacích soustavách, kritérium b), c), d) a e) zkouší AOs uchazeče prakticky s použitím "Projektové dokumentace" (PD).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20.10.2026 6:40:46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Vvšší odborná škola stavební a Střední škola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meliorací a ochrany půdy, v. v. i.,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20.10.2026 6:40:46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