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ED06FF" Type="http://schemas.openxmlformats.org/officeDocument/2006/relationships/officeDocument" Target="/word/document.xml" /><Relationship Id="coreR12ED06FF" Type="http://schemas.openxmlformats.org/package/2006/relationships/metadata/core-properties" Target="/docProps/core.xml" /><Relationship Id="customR12ED06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protierozních opatření (kód: 36-169-M)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protierozních opatření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protierozních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organizace prací na protierozních opatřeních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 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Stručně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 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zjišťování a oznamování přestupků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pravomoci jednotlivých stupňů státní správy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Plánování údržby, oprav rekonstrukcí protierozních opatření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význam a obsah pasportizace protierozních opatření (PEO), rozlišit na opatření organizační, agrotechnická a vegetační, technická</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Vypracovat jednoduchý posudek zdokumentovaného příkladu skutečně probíhající eroze (fotografie, mapové podklady, …) a navrhnout údržbu nebo opravu</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Popsat způsoby postupů získávání podkladů pro řešené území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Stanovit časovou potřebu činností při pravidelné údržbě PEO z konkrétní situace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Vyjmenovat příklady závad a poruch na PEO, včetně povodňových škod, a vysvětlit možné způsoby jejich odstranění</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Ústní ověření</w:t>
      </w:r>
    </w:p>
    <w:p>
      <w:pPr>
        <w:pStyle w:val="P16"/>
        <w:framePr w:w="6710" w:h="831" w:hRule="exact" w:wrap="none" w:vAnchor="page" w:hAnchor="margin" w:x="45" w:y="8491"/>
        <w:rPr>
          <w:rStyle w:val="C3"/>
          <w:rtl w:val="0"/>
        </w:rPr>
      </w:pPr>
    </w:p>
    <w:p>
      <w:pPr>
        <w:pStyle w:val="P17"/>
        <w:framePr w:w="6658" w:h="704" w:hRule="exact" w:wrap="none" w:vAnchor="page" w:hAnchor="margin" w:x="71" w:y="8547"/>
        <w:rPr>
          <w:rStyle w:val="C13"/>
          <w:rtl w:val="0"/>
        </w:rPr>
      </w:pPr>
      <w:r>
        <w:rPr>
          <w:rStyle w:val="C13"/>
          <w:rtl w:val="0"/>
        </w:rPr>
        <w:t>f) Porovnat význam, přednosti a nedostatky organizačních, agrotechnických a vegetačních, technických PEO; ilustrovat na základě vlastních získaných informací (fotografie, fotomapy, veřejné informační systémy)</w:t>
      </w:r>
    </w:p>
    <w:p>
      <w:pPr>
        <w:pStyle w:val="P30"/>
        <w:framePr w:w="3921" w:h="831" w:hRule="exact" w:wrap="none" w:vAnchor="page" w:hAnchor="margin" w:x="6800" w:y="8491"/>
        <w:rPr>
          <w:rStyle w:val="C3"/>
          <w:rtl w:val="0"/>
        </w:rPr>
      </w:pPr>
    </w:p>
    <w:p>
      <w:pPr>
        <w:pStyle w:val="P31"/>
        <w:framePr w:w="3839" w:h="704"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9435"/>
        <w:rPr>
          <w:rStyle w:val="C23"/>
          <w:rtl w:val="0"/>
        </w:rPr>
      </w:pPr>
      <w:r>
        <w:rPr>
          <w:rStyle w:val="C23"/>
          <w:rtl w:val="0"/>
        </w:rPr>
        <w:t>Je třeba splnit všechna kritéria.</w:t>
      </w:r>
    </w:p>
    <w:p>
      <w:pPr>
        <w:pStyle w:val="P23"/>
        <w:framePr w:w="10710" w:h="340" w:hRule="exact" w:wrap="none" w:vAnchor="page" w:hAnchor="margin" w:x="28" w:y="9871"/>
        <w:rPr>
          <w:rStyle w:val="C18"/>
          <w:rtl w:val="0"/>
        </w:rPr>
      </w:pPr>
      <w:r>
        <w:rPr>
          <w:rStyle w:val="C18"/>
          <w:rtl w:val="0"/>
        </w:rPr>
        <w:t>Jednání s investory a správními orgány v rámci melioračních staveb</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a) Vyjmenovat příklady možných střetů cizích stavebních záměrů s vodním dílem nebo zařízením a stanovit podmínky pro jejich realizaci</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Vysvětlit důležitost jednání se správními orgány ve věcech stavebních, vodoprávních, ochrany zemědělského půdního fondu, ochrany přírody apod.</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Ústní ověření</w:t>
      </w:r>
    </w:p>
    <w:p>
      <w:pPr>
        <w:pStyle w:val="P16"/>
        <w:framePr w:w="6710" w:h="607" w:hRule="exact" w:wrap="none" w:vAnchor="page" w:hAnchor="margin" w:x="45" w:y="12507"/>
        <w:rPr>
          <w:rStyle w:val="C3"/>
          <w:rtl w:val="0"/>
        </w:rPr>
      </w:pPr>
    </w:p>
    <w:p>
      <w:pPr>
        <w:pStyle w:val="P17"/>
        <w:framePr w:w="6658" w:h="480" w:hRule="exact" w:wrap="none" w:vAnchor="page" w:hAnchor="margin" w:x="71" w:y="12563"/>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2507"/>
        <w:rPr>
          <w:rStyle w:val="C3"/>
          <w:rtl w:val="0"/>
        </w:rPr>
      </w:pPr>
    </w:p>
    <w:p>
      <w:pPr>
        <w:pStyle w:val="P31"/>
        <w:framePr w:w="3839" w:h="480" w:hRule="exact" w:wrap="none" w:vAnchor="page" w:hAnchor="margin" w:x="6856" w:y="12563"/>
        <w:rPr>
          <w:rStyle w:val="C22"/>
          <w:rtl w:val="0"/>
        </w:rPr>
      </w:pPr>
      <w:r>
        <w:rPr>
          <w:rStyle w:val="C22"/>
          <w:rtl w:val="0"/>
        </w:rPr>
        <w:t>Praktické předvedení a 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Vypočítat ztrátu ornice (Wishmeier-Smithova rovnice)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Vyjmenovat odborné instituce, které se zabývají melioracemi</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1280" w:hRule="exact" w:wrap="none" w:vAnchor="page" w:hAnchor="margin" w:x="45" w:y="7030"/>
        <w:rPr>
          <w:rStyle w:val="C3"/>
          <w:rtl w:val="0"/>
        </w:rPr>
      </w:pPr>
    </w:p>
    <w:p>
      <w:pPr>
        <w:pStyle w:val="P13"/>
        <w:framePr w:w="6658" w:h="1153" w:hRule="exact" w:wrap="none" w:vAnchor="page" w:hAnchor="margin" w:x="71" w:y="708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 a pod.</w:t>
      </w:r>
    </w:p>
    <w:p>
      <w:pPr>
        <w:pStyle w:val="P28"/>
        <w:framePr w:w="3921" w:h="1280" w:hRule="exact" w:wrap="none" w:vAnchor="page" w:hAnchor="margin" w:x="6800" w:y="7030"/>
        <w:rPr>
          <w:rStyle w:val="C3"/>
          <w:rtl w:val="0"/>
        </w:rPr>
      </w:pPr>
    </w:p>
    <w:p>
      <w:pPr>
        <w:pStyle w:val="P29"/>
        <w:framePr w:w="3839" w:h="1153"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8423"/>
        <w:rPr>
          <w:rStyle w:val="C23"/>
          <w:rtl w:val="0"/>
        </w:rPr>
      </w:pPr>
      <w:r>
        <w:rPr>
          <w:rStyle w:val="C23"/>
          <w:rtl w:val="0"/>
        </w:rPr>
        <w:t>Je třeba splnit všechna kritéria.</w:t>
      </w:r>
    </w:p>
    <w:p>
      <w:pPr>
        <w:pStyle w:val="P23"/>
        <w:framePr w:w="10710" w:h="340" w:hRule="exact" w:wrap="none" w:vAnchor="page" w:hAnchor="margin" w:x="28" w:y="8858"/>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9297"/>
        <w:rPr>
          <w:rStyle w:val="C3"/>
          <w:rtl w:val="0"/>
        </w:rPr>
      </w:pPr>
    </w:p>
    <w:p>
      <w:pPr>
        <w:pStyle w:val="P25"/>
        <w:framePr w:w="6661" w:h="249" w:hRule="exact" w:wrap="none" w:vAnchor="page" w:hAnchor="margin" w:x="71" w:y="9368"/>
        <w:rPr>
          <w:rStyle w:val="C19"/>
          <w:rtl w:val="0"/>
        </w:rPr>
      </w:pPr>
      <w:r>
        <w:rPr>
          <w:rStyle w:val="C19"/>
          <w:rtl w:val="0"/>
        </w:rPr>
        <w:t>Kritéria hodnocení</w:t>
      </w:r>
    </w:p>
    <w:p>
      <w:pPr>
        <w:pStyle w:val="P26"/>
        <w:framePr w:w="3918" w:h="376" w:hRule="exact" w:wrap="none" w:vAnchor="page" w:hAnchor="margin" w:x="6803" w:y="9297"/>
        <w:rPr>
          <w:rStyle w:val="C3"/>
          <w:rtl w:val="0"/>
        </w:rPr>
      </w:pPr>
    </w:p>
    <w:p>
      <w:pPr>
        <w:pStyle w:val="P27"/>
        <w:framePr w:w="3836" w:h="249" w:hRule="exact" w:wrap="none" w:vAnchor="page" w:hAnchor="margin" w:x="6859" w:y="9368"/>
        <w:rPr>
          <w:rStyle w:val="C20"/>
          <w:rtl w:val="0"/>
        </w:rPr>
      </w:pPr>
      <w:r>
        <w:rPr>
          <w:rStyle w:val="C20"/>
          <w:rtl w:val="0"/>
        </w:rPr>
        <w:t>Způsoby ověření</w:t>
      </w:r>
    </w:p>
    <w:p>
      <w:pPr>
        <w:pStyle w:val="P12"/>
        <w:framePr w:w="6710" w:h="607" w:hRule="exact" w:wrap="none" w:vAnchor="page" w:hAnchor="margin" w:x="45" w:y="9674"/>
        <w:rPr>
          <w:rStyle w:val="C3"/>
          <w:rtl w:val="0"/>
        </w:rPr>
      </w:pPr>
    </w:p>
    <w:p>
      <w:pPr>
        <w:pStyle w:val="P13"/>
        <w:framePr w:w="6658" w:h="480" w:hRule="exact" w:wrap="none" w:vAnchor="page" w:hAnchor="margin" w:x="71" w:y="973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9674"/>
        <w:rPr>
          <w:rStyle w:val="C3"/>
          <w:rtl w:val="0"/>
        </w:rPr>
      </w:pPr>
    </w:p>
    <w:p>
      <w:pPr>
        <w:pStyle w:val="P29"/>
        <w:framePr w:w="3839" w:h="480" w:hRule="exact" w:wrap="none" w:vAnchor="page" w:hAnchor="margin" w:x="6856" w:y="9730"/>
        <w:rPr>
          <w:rStyle w:val="C21"/>
          <w:rtl w:val="0"/>
        </w:rPr>
      </w:pPr>
      <w:r>
        <w:rPr>
          <w:rStyle w:val="C21"/>
          <w:rtl w:val="0"/>
        </w:rPr>
        <w:t>Ústní ověření</w:t>
      </w:r>
    </w:p>
    <w:p>
      <w:pPr>
        <w:pStyle w:val="P16"/>
        <w:framePr w:w="6710" w:h="607" w:hRule="exact" w:wrap="none" w:vAnchor="page" w:hAnchor="margin" w:x="45" w:y="10281"/>
        <w:rPr>
          <w:rStyle w:val="C3"/>
          <w:rtl w:val="0"/>
        </w:rPr>
      </w:pPr>
    </w:p>
    <w:p>
      <w:pPr>
        <w:pStyle w:val="P17"/>
        <w:framePr w:w="6658" w:h="480" w:hRule="exact" w:wrap="none" w:vAnchor="page" w:hAnchor="margin" w:x="71" w:y="10337"/>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0281"/>
        <w:rPr>
          <w:rStyle w:val="C3"/>
          <w:rtl w:val="0"/>
        </w:rPr>
      </w:pPr>
    </w:p>
    <w:p>
      <w:pPr>
        <w:pStyle w:val="P31"/>
        <w:framePr w:w="3839" w:h="480" w:hRule="exact" w:wrap="none" w:vAnchor="page" w:hAnchor="margin" w:x="6856" w:y="10337"/>
        <w:rPr>
          <w:rStyle w:val="C22"/>
          <w:rtl w:val="0"/>
        </w:rPr>
      </w:pPr>
      <w:r>
        <w:rPr>
          <w:rStyle w:val="C22"/>
          <w:rtl w:val="0"/>
        </w:rPr>
        <w:t>Praktické předvedení</w:t>
      </w:r>
    </w:p>
    <w:p>
      <w:pPr>
        <w:pStyle w:val="P12"/>
        <w:framePr w:w="6710" w:h="607" w:hRule="exact" w:wrap="none" w:vAnchor="page" w:hAnchor="margin" w:x="45" w:y="10887"/>
        <w:rPr>
          <w:rStyle w:val="C3"/>
          <w:rtl w:val="0"/>
        </w:rPr>
      </w:pPr>
    </w:p>
    <w:p>
      <w:pPr>
        <w:pStyle w:val="P13"/>
        <w:framePr w:w="6658" w:h="480" w:hRule="exact" w:wrap="none" w:vAnchor="page" w:hAnchor="margin" w:x="71" w:y="10943"/>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0887"/>
        <w:rPr>
          <w:rStyle w:val="C3"/>
          <w:rtl w:val="0"/>
        </w:rPr>
      </w:pPr>
    </w:p>
    <w:p>
      <w:pPr>
        <w:pStyle w:val="P29"/>
        <w:framePr w:w="3839" w:h="480" w:hRule="exact" w:wrap="none" w:vAnchor="page" w:hAnchor="margin" w:x="6856" w:y="10943"/>
        <w:rPr>
          <w:rStyle w:val="C21"/>
          <w:rtl w:val="0"/>
        </w:rPr>
      </w:pPr>
      <w:r>
        <w:rPr>
          <w:rStyle w:val="C21"/>
          <w:rtl w:val="0"/>
        </w:rPr>
        <w:t>Praktické předvedení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organizace prací na protierozních opatřeních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ukazatele poruch funkčnosti technických PEO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ukazatele poruch funkčnosti agrotechnických a vegetačních PEO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důsledky nedodržování organizačních PEO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Předvést a zdůvodnit kontrolu způsobů hospodaření v povodí a vhodnosti agrotechnických opatření s důrazem na protierozní ochranu pozemků (obecně a zvlášť se zřetelem na ochranná pásma vodních zdrojů)</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a zdůvodnit kontrolu a přejímku oprav PEO</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Popsat činnosti při provádění technického dozoru stavebníka při výstavbě nebo rekonstrukci PEO</w:t>
      </w:r>
    </w:p>
    <w:p>
      <w:pPr>
        <w:pStyle w:val="P30"/>
        <w:framePr w:w="3921" w:h="607" w:hRule="exact" w:wrap="none" w:vAnchor="page" w:hAnchor="margin" w:x="6800" w:y="5306"/>
        <w:rPr>
          <w:rStyle w:val="C3"/>
          <w:rtl w:val="0"/>
        </w:rPr>
      </w:pPr>
    </w:p>
    <w:p>
      <w:pPr>
        <w:pStyle w:val="P31"/>
        <w:framePr w:w="3839" w:h="480" w:hRule="exact" w:wrap="none" w:vAnchor="page" w:hAnchor="margin" w:x="6856" w:y="536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Zdůvodnit vedení dokumentace provozu a údržby PEO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řešení problémů při vzniku poruch, havárií, povodní a dalších mimořádných událostí týkajících se PEO</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Ústní ověření</w:t>
      </w:r>
    </w:p>
    <w:p>
      <w:pPr>
        <w:pStyle w:val="P32"/>
        <w:framePr w:w="10710" w:h="248" w:hRule="exact" w:wrap="none" w:vAnchor="page" w:hAnchor="margin" w:x="28" w:y="7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(AOs) měla připraveny alespoň dvě varianty podkladů a příkladů pro přezkoušení. Kompetenci Orientace ve vodohospodářských normách, standardech, legislativě a dokumentaci se zaměřením na meliorační stavby a opatření, kritérium h) zkouší AOs uchazeče s použitím "Územně plánovací dokumentace" (ÚPD), kritérium i) zkouší AOs uchazeče s použitím "Plánu společných zařízení".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Plánování údržby, oprav a rekonstrukcí odvodňovacích soustav, kritérium a), d) a e) zkouší AOs uchazeče s použitím "Projektové dokumentace" (PD).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Jednání s investory a správními orgány v rámci melioračních staveb, kritérium a) zkouší AOs uchazeče prakticky s použitím ÚPD, kritérium d) zkouší AOs uchazeče s použitím projektu "Komplexní pozemková úprava" (KPÚ).</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Provádění kontrolní činnosti a organizace prací na odvodňovacích soustavách, kritérium b), c), d) a e) zkouší AOs uchazeče prakticky s použitím "Projektové dokumentace" (PD).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vodní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v oblasti vodního hospodářství,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36-169-M Technik protierozních opatření + střední vzdělání s maturitní zkouškou a alespoň 5 let praxe jako technik protierozních opatření,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ve věci využívání odpadů na povrchu terénu</w:t>
      </w:r>
    </w:p>
    <w:p>
      <w:pPr>
        <w:keepNext w:val="0"/>
        <w:keepLines w:val="1"/>
        <w:framePr w:w="10766" w:h="996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projektová dokumentace melioračních staveb</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kapacity koryta</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zadání příkladů pro výpočet ztráty ornice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měrné křivky nádrže</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zkoušení uchazečů</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99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auto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přípravy na zkoušku</w:t>
      </w:r>
    </w:p>
    <w:p>
      <w:pPr>
        <w:keepNext w:val="0"/>
        <w:keepLines w:val="0"/>
        <w:framePr w:w="10766" w:h="80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Doba pro vykonání zkoušky</w:t>
      </w:r>
    </w:p>
    <w:p>
      <w:pPr>
        <w:keepNext w:val="0"/>
        <w:keepLines w:val="0"/>
        <w:framePr w:w="10766" w:h="806"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Vvšší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protierozních opatření, 7.7.2026 15:07:46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60E1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6D5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C851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