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B8C53" Type="http://schemas.openxmlformats.org/officeDocument/2006/relationships/officeDocument" Target="/word/document.xml" /><Relationship Id="coreR2A7B8C53" Type="http://schemas.openxmlformats.org/package/2006/relationships/metadata/core-properties" Target="/docProps/core.xml" /><Relationship Id="customR2A7B8C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ofsetového archového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archového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tiskových barev a laků na ofsetových archových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ofsetového archového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ofsetových archových strojích - http://katalog.nsp.cz/karta_p.aspx?id_jp=100902). Dále se musí uchazeč prokázat lékařským potvrzením, že netrpí poruchou barvocitu (poruchou barevného vidění).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obálka ve formátu A4, barevnost 4/4 (stabilizovaný čtyřbarvotisk), disperzní lak 1/0, rozsah 4 strany, tisk na obracení, formát tiskového archu nejméně B2, plošná hmotnost kartonu 150 g/m².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TISK,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ofsetových archových strojů, 30.9.2026 0:39:32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