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39B792" Type="http://schemas.openxmlformats.org/officeDocument/2006/relationships/officeDocument" Target="/word/document.xml" /><Relationship Id="coreR6739B792" Type="http://schemas.openxmlformats.org/package/2006/relationships/metadata/core-properties" Target="/docProps/core.xml" /><Relationship Id="customR6739B7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ofsetových archových strojů (kód: 34-053-M)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ofsetového archového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archového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ofsetových archových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ofsetových archových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forem, tiskových barev a laků na ofsetových archových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ofsetových archových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ofsetových archových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ofsetových archových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ofsetového archového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ofsetových archových strojů, 30.9.2026 5:46:37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ofsetových archových strojích - http://katalog.nsp.cz/karta_p.aspx?id_jp=100902). Dále se musí uchazeč prokázat lékařským potvrzením, že netrpí poruchou barvocitu (poruchou barevného vidění).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obálka ve formátu A4, barevnost 4/4 (stabilizovaný čtyřbarvotisk), disperzní lak 1/0, rozsah 4 strany, tisk na obracení, formát tiskového archu nejméně B2, plošná hmotnost kartonu 150 g/m².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ofsetových archových strojů, 30.9.2026 5:46:37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PB TISK,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ofsetových archových strojů, 30.9.2026 5:46:37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