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698966" Type="http://schemas.openxmlformats.org/officeDocument/2006/relationships/officeDocument" Target="/word/document.xml" /><Relationship Id="coreR14698966" Type="http://schemas.openxmlformats.org/package/2006/relationships/metadata/core-properties" Target="/docProps/core.xml" /><Relationship Id="customR146989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ofsetových archových strojů (kód: 34-053-M)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osádky ofsetového archového stroje a koordinace její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polygrafického integrovaného informačního systému při přípravě a řízení produkce ofsetového archového stroje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ofsetových archových strojích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ofsetových archových strojích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materiálu, tiskových forem, tiskových barev a laků na ofsetových archových strojích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Příprava a seřízení ofsetových archových strojů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ofsetových archových strojích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Dokončení tisku, předání zakázky na ofsetových archových strojích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Kontrola, údržba a čištění ofsetového archového stroje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ofsetových archových strojů, 20.10.2026 10:57:34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– shodně jako u PK Tiskař na ofsetových archových strojích - http://katalog.nsp.cz/karta_p.aspx?id_jp=100902). Dále se musí uchazeč prokázat lékařským potvrzením, že netrpí poruchou barvocitu (poruchou barevného vidění).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ofsetového tisku a opírá se o tyto normy: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Tisk ofsetem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Procesy zhotovování nátisku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OHSAS 18001 - Bezpečnost a ochrana zdraví při práci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ISO 14001 Systémy environmentálního managementu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uvedené normy jsou v aktuálním platném znění.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hodnocení, kde je požadováno praktické předvedení, lze z provozních důvodů při ověřování kritéria připustit simulaci dané činnosti přímo u tiskového stroje.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pro ověřování jednotlivých kompetencí: časopisecká obálka ve formátu A4, barevnost 4/4 (stabilizovaný čtyřbarvotisk), disperzní lak 1/0, rozsah 4 strany, tisk na obracení, formát tiskového archu nejméně B2, plošná hmotnost kartonu 150 g/m².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ofsetových archových strojů, 20.10.2026 10:57:34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MR MEDIA,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Grafická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Svoboda Press,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PB TISK,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ofsetových archových strojů, 20.10.2026 10:57:34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