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9E57E" Type="http://schemas.openxmlformats.org/officeDocument/2006/relationships/officeDocument" Target="/word/document.xml" /><Relationship Id="coreR77C9E57E" Type="http://schemas.openxmlformats.org/package/2006/relationships/metadata/core-properties" Target="/docProps/core.xml" /><Relationship Id="customR77C9E5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novinového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logistiky při výrobě novinové tiskové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polygrafického integrovaného informačního systému při přípravě a řízení produkce novinového ofsetového kotoučového stroje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novinových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a seřízení novinových ofsetových kotoučových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novinových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Dokončení tisku, předání zakázky na novinových ofsetových kotoučových strojích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Kontrola, údržba a čištění novinového ofsetového kotoučového stroje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novinových ofsetových kotoučových strojích - http://katalog.nsp.cz/karta_p.aspx?id_jp=102020&amp;kod_sm1=33).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systémového řízení kvality ofsetového tisku a opírá se o tyto normy: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12647- 3 Coldset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jsou v aktuálním platném znění.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novinová složka, barevnost 4/4 (procesní novinový čtyřbarvotisk), rozsah 8 a 16 stran, tisk rub a líc, gramáž 42 g/m² novinový papír.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30.9.2026 1:44:16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