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A3D2CB" Type="http://schemas.openxmlformats.org/officeDocument/2006/relationships/officeDocument" Target="/word/document.xml" /><Relationship Id="coreR22A3D2CB" Type="http://schemas.openxmlformats.org/package/2006/relationships/metadata/core-properties" Target="/docProps/core.xml" /><Relationship Id="customR22A3D2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novinového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logistiky při výrobě novinové tiskové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polygrafického integrovaného informačního systému při přípravě a řízení produkce novinového ofsetového kotoučového stroje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novinových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novinových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tiskových forem a tiskových barev na novinových ofsetových kotoučových strojích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a seřízení novinových ofsetových kotoučových 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novinových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Dokončení tisku, předání zakázky na novinových ofsetových kotoučových strojích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Kontrola, údržba a čištění novinového ofsetového kotoučového stroje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20.10.2026 11:48:12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novinových ofsetových kotoučových strojích - http://katalog.nsp.cz/karta_p.aspx?id_jp=102020&amp;kod_sm1=33).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systémového řízení kvality ofsetového tisku a opírá se o tyto normy: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12647- 3 Coldset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jsou v aktuálním platném znění.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novinová složka, barevnost 4/4 (procesní novinový čtyřbarvotisk), rozsah 8 a 16 stran, tisk rub a líc, gramáž 42 g/m² novinový papír.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20.10.2026 11:48:12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20.10.2026 11:48:12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