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AEA496" Type="http://schemas.openxmlformats.org/officeDocument/2006/relationships/officeDocument" Target="/word/document.xml" /><Relationship Id="coreR49AEA496" Type="http://schemas.openxmlformats.org/package/2006/relationships/metadata/core-properties" Target="/docProps/core.xml" /><Relationship Id="customR49AEA4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motorových lokomotiv motorář/motorářka (kód: 23-131-H)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motorových lokomotiv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vznětových motorů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 vznětového motoru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Určování závad, opotřebení součástí vznětových motorů, rozhodování o způsobu jejich opravy, renovace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Sestavení a kontrola vznětového motoru hnacího nebo speciálního kolejového vozidla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Provedení demontáže, opravy a montáže části vznětového motoru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 motorář/motorářka, 20.10.2026 10:28:30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motoru zahrnuje: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•odpojení vzduchového sacího potrubí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•odpojení naftového potrubí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•odpojení výfukového potrubí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•odpojení chladícího potrubí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•demontáž soustrojí (alternátor, spojka, motor)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•vypuštění náplní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vlastního motoru na díly zahrnuje: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•skříň motoru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•olejový chladič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•vložky,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•hlavy válců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•ventily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•písty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•ojnice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•kliková hřídel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•vačková hřídel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Vyžaduje-li provedení zkoušky odborné způsobilosti ke zvedání břemen pomocí zdvihacích zařízení, je zkoušející povinen zajistit dohled osoby s příslušnou odbornou způsobilostí - jeřábníka a vazače.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 motorář/motorářka, 20.10.2026 10:28:30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 motorář/motorářka, 20.10.2026 10:28:30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6EEDAF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75F338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