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274EA3" Type="http://schemas.openxmlformats.org/officeDocument/2006/relationships/officeDocument" Target="/word/document.xml" /><Relationship Id="coreR70274EA3" Type="http://schemas.openxmlformats.org/package/2006/relationships/metadata/core-properties" Target="/docProps/core.xml" /><Relationship Id="customR70274E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na automatických linkách pro dokončující zpracování v polygrafii (kód: 34-055-M)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dokončovacích polygrafických linek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na automatických linkách pro dokončující zpracování v polygrafii, 30.9.2026 4:41:37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Technik dokončovacího zpracování tiskovin (kód: 34-57-L/01)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na automatických linkách pro dokončující zpracování v polygrafii (kód: 34-055-M)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Operátor automatických linek pro dokončující zpracování v polygrafii (kód: 34-99-M/08)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Operátor/operátorka na automatických linkách pro dokončující zpracování v polygrafii (kód: 34-055-M)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Operátor dokončovacích polygrafických linek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na automatických linkách pro dokončující zpracování v polygrafii, 30.9.2026 4:41:37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