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DE0EF" Type="http://schemas.openxmlformats.org/officeDocument/2006/relationships/officeDocument" Target="/word/document.xml" /><Relationship Id="coreR178DE0EF" Type="http://schemas.openxmlformats.org/package/2006/relationships/metadata/core-properties" Target="/docProps/core.xml" /><Relationship Id="customR178DE0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dokončovacích polygrafických linek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na automatických linkách pro dokončující zpracování v polygrafii, 20.10.2026 6:43:42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Technik dokončovacího zpracování tiskovin (kód: 34-57-L/01)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na automatických linkách pro dokončující zpracování v polygrafii (kód: 34-055-M)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Operátor automatických linek pro dokončující zpracování v polygrafii (kód: 34-99-M/08)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Operátor/operátorka na automatických linkách pro dokončující zpracování v polygrafii (kód: 34-055-M)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Operátor dokončovacích polygrafických linek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na automatických linkách pro dokončující zpracování v polygrafii, 20.10.2026 6:43:42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