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6D8C79" Type="http://schemas.openxmlformats.org/officeDocument/2006/relationships/officeDocument" Target="/word/document.xml" /><Relationship Id="coreR296D8C79" Type="http://schemas.openxmlformats.org/package/2006/relationships/metadata/core-properties" Target="/docProps/core.xml" /><Relationship Id="customR296D8C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11.02.2022 do: 15.12.2022</w:t>
      </w:r>
    </w:p>
    <w:p>
      <w:pPr>
        <w:pStyle w:val="P21"/>
        <w:framePr w:w="7654" w:h="331" w:hRule="exact" w:wrap="none" w:vAnchor="page" w:hAnchor="margin" w:x="28" w:y="15940"/>
        <w:rPr>
          <w:rStyle w:val="C16"/>
          <w:rtl w:val="0"/>
        </w:rPr>
      </w:pPr>
      <w:r>
        <w:rPr>
          <w:rStyle w:val="C16"/>
          <w:rtl w:val="0"/>
        </w:rPr>
        <w:t>Montér/montérka měření v elektroenergetice, 20.10.2026 9:29:37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47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předložení platného Osvědčení o elektrotechnické způsobilosti podle vyhlášky č. 50/1978 Sb., min. § 6, ve znění pozdějších předpisů.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20.10.2026 9:29:37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20.10.2026 9:29:37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