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8D6F7" Type="http://schemas.openxmlformats.org/officeDocument/2006/relationships/officeDocument" Target="/word/document.xml" /><Relationship Id="coreR6868D6F7" Type="http://schemas.openxmlformats.org/package/2006/relationships/metadata/core-properties" Target="/docProps/core.xml" /><Relationship Id="customR6868D6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11.02.2022 do: 15.12.2022</w:t>
      </w:r>
    </w:p>
    <w:p>
      <w:pPr>
        <w:pStyle w:val="P21"/>
        <w:framePr w:w="7654" w:h="331" w:hRule="exact" w:wrap="none" w:vAnchor="page" w:hAnchor="margin" w:x="28" w:y="15940"/>
        <w:rPr>
          <w:rStyle w:val="C16"/>
          <w:rtl w:val="0"/>
        </w:rPr>
      </w:pPr>
      <w:r>
        <w:rPr>
          <w:rStyle w:val="C16"/>
          <w:rtl w:val="0"/>
        </w:rPr>
        <w:t>Montér/montérka měření v elektroenergetice, 31.5.2026 6:49:23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47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předložení platného Osvědčení o elektrotechnické způsobilosti podle vyhlášky č. 50/1978 Sb., min. § 6, ve znění pozdějších předpisů.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31.5.2026 6:49:23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31.5.2026 6:49:23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