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A24D4" Type="http://schemas.openxmlformats.org/officeDocument/2006/relationships/officeDocument" Target="/word/document.xml" /><Relationship Id="coreR250A24D4" Type="http://schemas.openxmlformats.org/package/2006/relationships/metadata/core-properties" Target="/docProps/core.xml" /><Relationship Id="customR250A24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zařízení pro výrobu páry / teplé vody pro energetiku (kód: 23-139-M)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zařízení; Operátor parních energetických zařízení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pojmech termodynamiky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druzích paliv a manipulaci s nimi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druzích a konstrukcích kotlů a ohnišť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 kotle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způsobů úpravy napájecí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přezkušování pomocných a měřících zařízení kotlů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uvádění kotlů do provozu a v provozu kotlů za mimořádných podmínek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podmínek hospodárného provozu kotle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řízení provozu kotle v energetice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Bezpečnost a ochrana zdraví při práci, první pomoc při úrazu elektrickým proudem, požární řád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možností zvyšování životnosti tlakových celků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Přezkušování měřidel plynných emisí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20.10.2026 9:49:15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https://www.nsp.cz/jednotka-prace/operator-parnich-energeti#zdravotni-zpusobilost).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odbornou způsobilost k obsluze kotlů I., II., III. a IV. třídy dle vyhlášky č.18/1979 Sb., ve znění pozdějších předpisů, platným topičským průkazem.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20.10.2026 9:49:15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20.10.2026 9:49:15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