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BC754" Type="http://schemas.openxmlformats.org/officeDocument/2006/relationships/officeDocument" Target="/word/document.xml" /><Relationship Id="coreR70BBC754" Type="http://schemas.openxmlformats.org/package/2006/relationships/metadata/core-properties" Target="/docProps/core.xml" /><Relationship Id="customR70BBC7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zařízení pro výrobu páry / teplé vody pro energetiku (kód: 23-139-M)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zařízení; Operátor parních energetických zařízení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pojmech termodynamiky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druzích paliv a manipulaci s nimi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druzích a konstrukcích kotlů a ohnišť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 kotle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způsobů úpravy napájecí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přezkušování pomocných a měřících zařízení kotlů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uvádění kotlů do provozu a v provozu kotlů za mimořádných podmínek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podmínek hospodárného provozu kotle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řízení provozu kotle v energetice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Bezpečnost a ochrana zdraví při práci, první pomoc při úrazu elektrickým proudem, požární řád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možností zvyšování životnosti tlakových celků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Přezkušování měřidel plynných emisí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https://www.nsp.cz/jednotka-prace/operator-parnich-energeti#zdravotni-zpusobilost).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odbornou způsobilost k obsluze kotlů I., II., III. a IV. třídy dle vyhlášky č.18/1979 Sb., ve znění pozdějších předpisů, platným topičským průkazem.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