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376EF" Type="http://schemas.openxmlformats.org/officeDocument/2006/relationships/officeDocument" Target="/word/document.xml" /><Relationship Id="coreR353376EF" Type="http://schemas.openxmlformats.org/package/2006/relationships/metadata/core-properties" Target="/docProps/core.xml" /><Relationship Id="customR35337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zařízení pro výrobu páry / teplé vody pro energetiku (kód: 23-139-M)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zařízení; Operátor horkovodních energetických zařízení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pojmech termodynamiky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druzích paliv a manipulaci s nimi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druzích a konstrukcích kotlů a ohnišť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 kotle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způsobů úpravy napájecí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přezkušování pomocných a měřících zařízení kotlů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uvádění kotlů do provozu a v provozu kotlů za mimořádných podmínek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podmínek hospodárného provozu kotle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řízení provozu kotle v energetice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Bezpečnost a ochrana zdraví při práci, první pomoc při úrazu elektrickým proudem, požární řád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možností zvyšování životnosti tlakových celků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Přezkušování měřidel plynných emisí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https://www.nsp.cz/jednotka-prace/operator-parnich-energeti#zdravotni-zpusobilost).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odbornou způsobilost k obsluze kotlů I., II., III. a IV. třídy dle vyhlášky č.18/1979 Sb., ve znění pozdějších předpisů, platným topičským průkazem.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