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0B84C6" Type="http://schemas.openxmlformats.org/officeDocument/2006/relationships/officeDocument" Target="/word/document.xml" /><Relationship Id="coreR770B84C6" Type="http://schemas.openxmlformats.org/package/2006/relationships/metadata/core-properties" Target="/docProps/core.xml" /><Relationship Id="customR770B84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převozu finanční hotovosti a cenin (kód: 68-004-H)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převozu finanční hotovosti a cenin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základů soukromé bezpečnostní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Defenzivní řízení vozidla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ozbrojeného doprovodu osob a dopravních prostředků při přepravě peněz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a ostraha bankovních objektů a transportů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Obsluhování jednoduchých mechanických a elektronických zabezpečovacích zařízení, poplachových a požárních signalizací a kamerových systémů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Obsluhování a používání optických, signalizačních a komunikačních prostředků určených k ostraze objektů a osob</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Vykonávání zásahových akcí při narušení bezpečnosti chráněných objektů, zadržování narušitelů a zajišťování míst činu s použitím věcných bezpečnostních prostředků a zbraní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Uplatňování zásad součinnosti se složkami integrovaného záchranného systému, zejména s Policií ČR a vymezenými osobami</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Komplexní zajišťování obsluhy bankovních automatů</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Vedení dokumentace o průběhu služby a o mimořádných událostech</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08.09.2021 do: 20.10.2022</w:t>
      </w:r>
    </w:p>
    <w:p>
      <w:pPr>
        <w:pStyle w:val="P21"/>
        <w:framePr w:w="7654" w:h="331" w:hRule="exact" w:wrap="none" w:vAnchor="page" w:hAnchor="margin" w:x="28" w:y="15940"/>
        <w:rPr>
          <w:rStyle w:val="C16"/>
          <w:rtl w:val="0"/>
        </w:rPr>
      </w:pPr>
      <w:r>
        <w:rPr>
          <w:rStyle w:val="C16"/>
          <w:rtl w:val="0"/>
        </w:rPr>
        <w:t>Pracovník převozu finanční hotovosti a cenin, 17.6.2026 13:33:00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76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http://katalog.nsp.cz/karta_p.aspx?id_jp=101836&amp;kod_sm1=6) – uchazeč musí předložit potvrzení od lékaře, že je schopen řídit motorové vozidlo.</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možnost skládat zkoušku je doložení profesní kvalifikace Strážný a řidičského oprávnění skupiny C.</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kombinace písemné, praktické a ústní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zkoušky. Kritéria ověřovaná písemně se ověřují formou testu. Test obsahuje 30 otázek náhodně vybraných ze souboru testových otázek tak, aby byla pokryta celá problematika dané kompetence. Soubor testových otázek musí obsahovat minimálně 120 otázek. Ostatní kritéria se ověřují stanoveným způsobem buď formou ústního ověření, nebo praktického předvedení s případným ústním zdůvodněním.</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v českém jazyce.</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Komise připraví do zahájení zkoušky pracoviště, věcné bezpečnostní prostředky, techniku, zařízení, písemný test a ostatní informace potřebné k ověření jednotlivých kritérií. Určený člen komise poučí uchazeče před zahájením časového limitu o způsobu provedení písemné formy zkoušky a se způsobem ověření praktických dovedností.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ověření odborné způsobilosti vykonává praktickou část zkoušky v zásahovém oděvu s nezbytnou výstrojí a výzbrojí tak, aby bylo možné ověřit praktické předvedení tam, kde to hodnoticí standard stanoví.</w:t>
      </w:r>
    </w:p>
    <w:p>
      <w:pPr>
        <w:pStyle w:val="P21"/>
        <w:framePr w:w="7654" w:h="331" w:hRule="exact" w:wrap="none" w:vAnchor="page" w:hAnchor="margin" w:x="28" w:y="15940"/>
        <w:rPr>
          <w:rStyle w:val="C16"/>
          <w:rtl w:val="0"/>
        </w:rPr>
      </w:pPr>
      <w:r>
        <w:rPr>
          <w:rStyle w:val="C16"/>
          <w:rtl w:val="0"/>
        </w:rPr>
        <w:t>Pracovník převozu finanční hotovosti a cenin, 17.6.2026 13:33:00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Security Club</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Loomis Czech Republic, a. s.</w:t>
      </w:r>
    </w:p>
    <w:p>
      <w:pPr>
        <w:pStyle w:val="P21"/>
        <w:framePr w:w="7654" w:h="331" w:hRule="exact" w:wrap="none" w:vAnchor="page" w:hAnchor="margin" w:x="28" w:y="15940"/>
        <w:rPr>
          <w:rStyle w:val="C16"/>
          <w:rtl w:val="0"/>
        </w:rPr>
      </w:pPr>
      <w:r>
        <w:rPr>
          <w:rStyle w:val="C16"/>
          <w:rtl w:val="0"/>
        </w:rPr>
        <w:t>Pracovník převozu finanční hotovosti a cenin, 17.6.2026 13:33:00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