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1B42B" Type="http://schemas.openxmlformats.org/officeDocument/2006/relationships/officeDocument" Target="/word/document.xml" /><Relationship Id="coreR6781B42B" Type="http://schemas.openxmlformats.org/package/2006/relationships/metadata/core-properties" Target="/docProps/core.xml" /><Relationship Id="customR6781B4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14.10.2015 do: 07.09.2021</w:t>
      </w:r>
    </w:p>
    <w:p>
      <w:pPr>
        <w:pStyle w:val="P21"/>
        <w:framePr w:w="7654" w:h="331" w:hRule="exact" w:wrap="none" w:vAnchor="page" w:hAnchor="margin" w:x="28" w:y="15940"/>
        <w:rPr>
          <w:rStyle w:val="C16"/>
          <w:rtl w:val="0"/>
        </w:rPr>
      </w:pPr>
      <w:r>
        <w:rPr>
          <w:rStyle w:val="C16"/>
          <w:rtl w:val="0"/>
        </w:rPr>
        <w:t>Pracovník převozu finanční hotovosti a cenin, 31.7.2026 14:46:44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vždy mimo veřejný prostor při dodržení všech pravidel bezpečnosti. Autorizovaná osoba stanoví do zahájení zkoušky, které části zkoušky se konají z bezpečnostních důvodů a zachování tajemství s vyloučením veřejnosti.</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http://katalog.nsp.cz/karta_p.aspx?id_jp=101836&amp;kod_sm1=6) – uchazeč musí předložit potvrzení od lékaře, že je schopen řídit motorové vozidlo.</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 zkoušky. Kritéria ověřovaná písemně se ověřují formou testu. Test obsahuje 30 otázek náhodně vybraných ze souboru otázek tak, aby byla pokryta celá problematika dané kompetence. Ostatní kritéria se ověřují stanoveným způsobem buď formou ústního ověření, nebo praktického předvedení s případným ústním zdůvodněním.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kriterií. Určený člen komise poučí uchazeče před zahájením časového limitu o způsobu provedení písemné formy zkoušky a se způsobem ověření praktických dovedností.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 převozu finanční hotovosti a cenin, 31.7.2026 14:46:44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31.7.2026 14:46:44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