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1E3A4" Type="http://schemas.openxmlformats.org/officeDocument/2006/relationships/officeDocument" Target="/word/document.xml" /><Relationship Id="coreR3E1E3A4" Type="http://schemas.openxmlformats.org/package/2006/relationships/metadata/core-properties" Target="/docProps/core.xml" /><Relationship Id="customR3E1E3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Psovod bezpečnostní služby pro detekci akcelerantů hoření, 11.7.2026 22:01:07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Vysvětlení příčin vzniku a vlastností požáru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podmínky, které musí být splněny, aby došlo k hoření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čtyři vlastnosti ohniska požáru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pojem „akcelerant“ a vyjmenovat tři nejčastěji používané</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šest nejčastějších motivů vedoucích k úmyslnému založení požáru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teorii nácviku vyhledání a detekce akcelerantů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Definovat potřebné vlastnosti pracovního psa pro speciální pachové práce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dvě hlavní formy motivování psa – specialisty – k výkonu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Popsat, jaký povahový typ psa nelze použít k speciálním pachovým pracím – vyjmenovat tři povahové vlastnosti ztěžující až znemožňující výcvik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Uvést, co je účelem každého praktického nácviku vyhledání a detekce akcelerantů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„Vtiskávání“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Uvést způsob, jak vybudovat zájem psa o cílový pach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Vysvětlit pojem „Značení“ a uvést tři příklady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Ústní ověření</w:t>
      </w:r>
    </w:p>
    <w:p>
      <w:pPr>
        <w:pStyle w:val="P16"/>
        <w:framePr w:w="6710" w:h="607" w:hRule="exact" w:wrap="none" w:vAnchor="page" w:hAnchor="margin" w:x="45" w:y="9722"/>
        <w:rPr>
          <w:rStyle w:val="C3"/>
          <w:rtl w:val="0"/>
        </w:rPr>
      </w:pPr>
    </w:p>
    <w:p>
      <w:pPr>
        <w:pStyle w:val="P17"/>
        <w:framePr w:w="6658" w:h="480" w:hRule="exact" w:wrap="none" w:vAnchor="page" w:hAnchor="margin" w:x="71" w:y="9778"/>
        <w:rPr>
          <w:rStyle w:val="C13"/>
          <w:rtl w:val="0"/>
        </w:rPr>
      </w:pPr>
      <w:r>
        <w:rPr>
          <w:rStyle w:val="C13"/>
          <w:rtl w:val="0"/>
        </w:rPr>
        <w:t>h) Vysvětit postup učení psa diferenciaci pachů a přidávání dalších cílových látek</w:t>
      </w:r>
    </w:p>
    <w:p>
      <w:pPr>
        <w:pStyle w:val="P30"/>
        <w:framePr w:w="3921" w:h="607" w:hRule="exact" w:wrap="none" w:vAnchor="page" w:hAnchor="margin" w:x="6800" w:y="9722"/>
        <w:rPr>
          <w:rStyle w:val="C3"/>
          <w:rtl w:val="0"/>
        </w:rPr>
      </w:pPr>
    </w:p>
    <w:p>
      <w:pPr>
        <w:pStyle w:val="P31"/>
        <w:framePr w:w="3839" w:h="480" w:hRule="exact" w:wrap="none" w:vAnchor="page" w:hAnchor="margin" w:x="6856" w:y="9778"/>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i) Popsat podmínky, které musí být splněny, aby bylo možné přejít k vyhledávání cílových látek psem „na volno“ (bez vodítka)</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Ústní ověření</w:t>
      </w:r>
    </w:p>
    <w:p>
      <w:pPr>
        <w:pStyle w:val="P16"/>
        <w:framePr w:w="6710" w:h="376" w:hRule="exact" w:wrap="none" w:vAnchor="page" w:hAnchor="margin" w:x="45" w:y="10936"/>
        <w:rPr>
          <w:rStyle w:val="C3"/>
          <w:rtl w:val="0"/>
        </w:rPr>
      </w:pPr>
    </w:p>
    <w:p>
      <w:pPr>
        <w:pStyle w:val="P17"/>
        <w:framePr w:w="6658" w:h="249" w:hRule="exact" w:wrap="none" w:vAnchor="page" w:hAnchor="margin" w:x="71" w:y="10992"/>
        <w:rPr>
          <w:rStyle w:val="C13"/>
          <w:rtl w:val="0"/>
        </w:rPr>
      </w:pPr>
      <w:r>
        <w:rPr>
          <w:rStyle w:val="C13"/>
          <w:rtl w:val="0"/>
        </w:rPr>
        <w:t>j) Vysvětlit pojem „změna citlivosti“ z hlediska času, prostředí a množství</w:t>
      </w:r>
    </w:p>
    <w:p>
      <w:pPr>
        <w:pStyle w:val="P30"/>
        <w:framePr w:w="3921" w:h="376" w:hRule="exact" w:wrap="none" w:vAnchor="page" w:hAnchor="margin" w:x="6800" w:y="10936"/>
        <w:rPr>
          <w:rStyle w:val="C3"/>
          <w:rtl w:val="0"/>
        </w:rPr>
      </w:pPr>
    </w:p>
    <w:p>
      <w:pPr>
        <w:pStyle w:val="P31"/>
        <w:framePr w:w="3839" w:h="249" w:hRule="exact" w:wrap="none" w:vAnchor="page" w:hAnchor="margin" w:x="6856" w:y="10992"/>
        <w:rPr>
          <w:rStyle w:val="C22"/>
          <w:rtl w:val="0"/>
        </w:rPr>
      </w:pPr>
      <w:r>
        <w:rPr>
          <w:rStyle w:val="C22"/>
          <w:rtl w:val="0"/>
        </w:rPr>
        <w:t>Ústní ověření</w:t>
      </w:r>
    </w:p>
    <w:p>
      <w:pPr>
        <w:pStyle w:val="P32"/>
        <w:framePr w:w="10710" w:h="248" w:hRule="exact" w:wrap="none" w:vAnchor="page" w:hAnchor="margin" w:x="28" w:y="11426"/>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Orientace ve fyziologii a anatomii čichového ústrojí psa</w:t>
      </w:r>
    </w:p>
    <w:p>
      <w:pPr>
        <w:pStyle w:val="P24"/>
        <w:framePr w:w="6713" w:h="376" w:hRule="exact" w:wrap="none" w:vAnchor="page" w:hAnchor="margin" w:x="45" w:y="12301"/>
        <w:rPr>
          <w:rStyle w:val="C3"/>
          <w:rtl w:val="0"/>
        </w:rPr>
      </w:pPr>
    </w:p>
    <w:p>
      <w:pPr>
        <w:pStyle w:val="P25"/>
        <w:framePr w:w="6661" w:h="249" w:hRule="exact" w:wrap="none" w:vAnchor="page" w:hAnchor="margin" w:x="71" w:y="12372"/>
        <w:rPr>
          <w:rStyle w:val="C19"/>
          <w:rtl w:val="0"/>
        </w:rPr>
      </w:pPr>
      <w:r>
        <w:rPr>
          <w:rStyle w:val="C19"/>
          <w:rtl w:val="0"/>
        </w:rPr>
        <w:t>Kritéria hodnocení</w:t>
      </w:r>
    </w:p>
    <w:p>
      <w:pPr>
        <w:pStyle w:val="P26"/>
        <w:framePr w:w="3918" w:h="376" w:hRule="exact" w:wrap="none" w:vAnchor="page" w:hAnchor="margin" w:x="6803" w:y="12301"/>
        <w:rPr>
          <w:rStyle w:val="C3"/>
          <w:rtl w:val="0"/>
        </w:rPr>
      </w:pPr>
    </w:p>
    <w:p>
      <w:pPr>
        <w:pStyle w:val="P27"/>
        <w:framePr w:w="3836" w:h="249" w:hRule="exact" w:wrap="none" w:vAnchor="page" w:hAnchor="margin" w:x="6859" w:y="12372"/>
        <w:rPr>
          <w:rStyle w:val="C20"/>
          <w:rtl w:val="0"/>
        </w:rPr>
      </w:pPr>
      <w:r>
        <w:rPr>
          <w:rStyle w:val="C20"/>
          <w:rtl w:val="0"/>
        </w:rPr>
        <w:t>Způsoby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a) Popsat části čichového ústrojí psa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Vysvětlit rozdíl mezi krátkodobou a dlouhodobou čichovou pamětí psa a uvést jeden příklad využití každé z nich</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Ústní ověření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Uvést tři funkce čichového ústrojí psa</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d) Vyjmenovat tři příčiny, jejímž následkem může být ztráta čichu u psa</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bezpečnostní služby pro detekci akcelerantů hoření, 11.7.2026 22:01:07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na požářišti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tři nejdůležitější podmínky, po jejichž splnění může psovod se psem započít práci na požářišti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 určit místo, kde odebrat vzorek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jakým způsobem odebrat vzorek a kolik vzorků odebrat z místa, kde značil pes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pět vlastností (fyzikálních, chemických a technických), které musí splňovat nádoba na odebrané vzorky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Určit, kolik souprav pro odběr vzorků použít k odebrání dvou vzorků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obsah soupravy pro odběr vzorků a vysvětlit zásady práce se soupravou pro odběr vzorků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tři další nejdůležitější nástroje pro odebrání vzorku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způsob dalšího ověření odebraného vzorku</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Uvést počet vzorků v pachové řadě</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Uvést, kde odebrat srovnávací vzorky</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další postup zacházení s odebraným a ověřeným vzorkem</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Prohlédnout požářiště</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Praktické předvedení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Odebrat vzorek z místa značení psem a odebrat srovnávací vzorky</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Ověřit psem v pachové řadě, či na kolotoči, správnost odběru vzorku</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9"/>
        <w:rPr>
          <w:rStyle w:val="C18"/>
          <w:rtl w:val="0"/>
        </w:rPr>
      </w:pPr>
      <w:r>
        <w:rPr>
          <w:rStyle w:val="C18"/>
          <w:rtl w:val="0"/>
        </w:rPr>
        <w:t>Orientace v zásadách ochrany zdraví psovoda a psa</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Vyjmenovat pět povinných ochranných pomůcek pro psovoda a uvést jejich požadované vlastnosti</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Vyjmenovat tři používané ochranné pomůcky pro psa a uvést jejich požadované vlastnosti</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Ústní ověření</w:t>
      </w:r>
    </w:p>
    <w:p>
      <w:pPr>
        <w:pStyle w:val="P12"/>
        <w:framePr w:w="6710" w:h="607" w:hRule="exact" w:wrap="none" w:vAnchor="page" w:hAnchor="margin" w:x="45" w:y="11738"/>
        <w:rPr>
          <w:rStyle w:val="C3"/>
          <w:rtl w:val="0"/>
        </w:rPr>
      </w:pPr>
    </w:p>
    <w:p>
      <w:pPr>
        <w:pStyle w:val="P13"/>
        <w:framePr w:w="6658" w:h="480" w:hRule="exact" w:wrap="none" w:vAnchor="page" w:hAnchor="margin" w:x="71" w:y="11794"/>
        <w:rPr>
          <w:rStyle w:val="C11"/>
          <w:rtl w:val="0"/>
        </w:rPr>
      </w:pPr>
      <w:r>
        <w:rPr>
          <w:rStyle w:val="C11"/>
          <w:rtl w:val="0"/>
        </w:rPr>
        <w:t>c) Popsat, které druhy veterinárního vyšetření a v jakých intervalech má pes specialista absolvovat</w:t>
      </w:r>
    </w:p>
    <w:p>
      <w:pPr>
        <w:pStyle w:val="P28"/>
        <w:framePr w:w="3921" w:h="607" w:hRule="exact" w:wrap="none" w:vAnchor="page" w:hAnchor="margin" w:x="6800" w:y="11738"/>
        <w:rPr>
          <w:rStyle w:val="C3"/>
          <w:rtl w:val="0"/>
        </w:rPr>
      </w:pPr>
    </w:p>
    <w:p>
      <w:pPr>
        <w:pStyle w:val="P29"/>
        <w:framePr w:w="3839" w:h="480" w:hRule="exact" w:wrap="none" w:vAnchor="page" w:hAnchor="margin" w:x="6856" w:y="11794"/>
        <w:rPr>
          <w:rStyle w:val="C21"/>
          <w:rtl w:val="0"/>
        </w:rPr>
      </w:pPr>
      <w:r>
        <w:rPr>
          <w:rStyle w:val="C21"/>
          <w:rtl w:val="0"/>
        </w:rPr>
        <w:t>Ústní ověření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bezpečnostní služby pro detekci akcelerantů hoření, 11.7.2026 22:01:07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33"/>
        <w:framePr w:w="10766" w:h="2538"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připouští jedno odchýlení u každé ověřované kompetence. Za odchýlení se považuje použití nesprávného výrazu nebo záměna pořadí činností, které nemají vliv na celkově správné řešení situace (odpovědi).</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 bezpečnostní služby pro detekci akcelerantů hoření, 11.7.2026 22:01:07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4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střední vzdělání s maturitní zkouškou a alespoň 5 let odborné praxe v řídicích činnostech v oblasti bezpečnostních služeb,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zúčastnit se nejméně jednoho mezinárodního závodu ve výkonu psů (účast doložit zápisem ve výsledkové listině závodu).</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Psovod bezpečnostní služby pro detekci akcelerantů hoření, 11.7.2026 22:01:07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ověření teoretických znalostí psovodů, prováděné ústní formou, bez dalších pomůcek.</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prostoru pro vytvoření potřebného množství (podle počtu účastníků zkoušky) umělých požářišť. Každé jednotlivé požářiště je ohraničený prostor o rozměrech 15 x 15 m. Do každého požářiště se zakládá pouze jeden vzorek akcelerantu. Pro každého zkoušeného psa musí být použito jiné požářiště. Jedno požářiště nesmí být v průběhu zkoušky použito dvakrát, protože je po použití kontaminováno.</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Sterilní pomůcky a nádoby k odběru vzorků (na 1 uchazeče):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sterilizovaných sklenic pro odběr vzorků, každá o objemu 1 litr</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páry sterilizovaných rukavic</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lopatička z umělé hmoty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kovová lopatička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•pipeta</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50%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75%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pomůcky k vytvoření pachové řady či kolotoče k potvrzení správnosti odběru vzorku.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přípravy na zkoušku</w:t>
      </w:r>
    </w:p>
    <w:p>
      <w:pPr>
        <w:keepNext w:val="0"/>
        <w:keepLines w:val="0"/>
        <w:framePr w:w="10766" w:h="103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Zkoušku není možné rozložit do více dnů.</w:t>
      </w:r>
    </w:p>
    <w:p>
      <w:pPr>
        <w:pStyle w:val="P21"/>
        <w:framePr w:w="7654" w:h="331" w:hRule="exact" w:wrap="none" w:vAnchor="page" w:hAnchor="margin" w:x="28" w:y="15940"/>
        <w:rPr>
          <w:rStyle w:val="C16"/>
          <w:rtl w:val="0"/>
        </w:rPr>
      </w:pPr>
      <w:r>
        <w:rPr>
          <w:rStyle w:val="C16"/>
          <w:rtl w:val="0"/>
        </w:rPr>
        <w:t>Psovod bezpečnostní služby pro detekci akcelerantů hoření, 11.7.2026 22:01:07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 bezpečnostní služby pro detekci akcelerantů hoření, 11.7.2026 22:01:07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3E4F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0544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