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770F73" Type="http://schemas.openxmlformats.org/officeDocument/2006/relationships/officeDocument" Target="/word/document.xml" /><Relationship Id="coreR77770F73" Type="http://schemas.openxmlformats.org/package/2006/relationships/metadata/core-properties" Target="/docProps/core.xml" /><Relationship Id="customR77770F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sušené zeleniny a ovoce (kód: 29-098-H)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vstupní suroviny pro sušení zeleniny a ovoce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technologické linky pro sušení zeleniny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suroviny pro sušení zeleniny a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průběhu sušení zeleniny a ovoce v sušárně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sušené zeleniny a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sušení zeleniny a ovoce,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sušené zeleniny a ovoce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sušené zeleniny a ovoce,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http://katalog.nsp.cz/karta_p.aspx?id_jp=101895).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 a musí být schopné poskytnout čestné prohlášení o bezinfekčnosti.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pracovištěm, vybavením a technikou a s provozní dokumentací systému analýzy rizika a stanovení kritických kontrolních bodů ve výrobě potravin (HACCP-Hazard Analysis and Critical Control Points, správné hygienické praxe-SHP, správné výrobní praxe-SVP). Při ověřování praktickým předvedením nemusí být vždy zachována návaznost činností vedoucích k výrobě konkrétního sušeného výrobku.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jednoho druhu sušeného výrobku (sušené zeleniny či ovoce; v minimálním množství 10 kg suroviny-1 kg výrobku), podle sezónního druhu výrobku, který se v období realizace zkoušky suší.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sušené zeleniny a ovoce,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sušené zeleniny a ovoce,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