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9DA4B3" Type="http://schemas.openxmlformats.org/officeDocument/2006/relationships/officeDocument" Target="/word/document.xml" /><Relationship Id="coreR789DA4B3" Type="http://schemas.openxmlformats.org/package/2006/relationships/metadata/core-properties" Target="/docProps/core.xml" /><Relationship Id="customR789DA4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sušené zeleniny a ovoce (kód: 29-098-H)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vstupní suroviny pro sušení zeleniny a ovoce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technologické linky pro sušení zeleniny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suroviny pro sušení zeleniny a ovoce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průběhu sušení zeleniny a ovoce v sušárně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sušené zeleniny a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sušení zeleniny a ovoce,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sušené zeleniny a ovoce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20.10.2026 11:00:31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http://katalog.nsp.cz/karta_p.aspx?id_jp=101895).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 a musí být schopné poskytnout čestné prohlášení o bezinfekčnosti.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pracovištěm, vybavením a technikou a s provozní dokumentací systému analýzy rizika a stanovení kritických kontrolních bodů ve výrobě potravin (HACCP-Hazard Analysis and Critical Control Points, správné hygienické praxe-SHP, správné výrobní praxe-SVP). Při ověřování praktickým předvedením nemusí být vždy zachována návaznost činností vedoucích k výrobě konkrétního sušeného výrobku.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jednoho druhu sušeného výrobku (sušené zeleniny či ovoce; v minimálním množství 10 kg suroviny-1 kg výrobku), podle sezónního druhu výrobku, který se v období realizace zkoušky suší.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20.10.2026 11:00:31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20.10.2026 11:00:31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