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C9674" Type="http://schemas.openxmlformats.org/officeDocument/2006/relationships/officeDocument" Target="/word/document.xml" /><Relationship Id="coreR44EC9674" Type="http://schemas.openxmlformats.org/package/2006/relationships/metadata/core-properties" Target="/docProps/core.xml" /><Relationship Id="customR44EC96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 forem pro tlakové lití v keramice a střední vzdělání s maturitní zkouškou a alespoň 5 let odborné praxe v oblasti keramické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 forem pro tlakové lití v keramice, 2.10.2026 5:33:16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D3A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B71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7E22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