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9934E" Type="http://schemas.openxmlformats.org/officeDocument/2006/relationships/officeDocument" Target="/word/document.xml" /><Relationship Id="coreR1269934E" Type="http://schemas.openxmlformats.org/package/2006/relationships/metadata/core-properties" Target="/docProps/core.xml" /><Relationship Id="customR126993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forem pro tlakové lití v keramice (kód: 28-102-M)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technických podkladech při výrobě forem pro tlakové lití v keramice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forem pro tlakové lití v keramice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forem pro tlakové lití v keramice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tlakové lití v keramice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pro tlakové lití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a PO při výrobě forem pro tlakové lití v keramice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Skladování, manipulace a vedení evidence forem pro tlakové lití v keramice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pro tlakové lití v keramice, 2.10.2026 5:33:08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https://www.nsp.cz/jednotka-prace/vyrobce-sadrovych-forem#zdravotni-zpusobilost).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určí druh a parametry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v odborné kompetenci Obsluha zařízení pro tlakové lití keramických výrobků se realizuje v reálném provozu na pracovních místech u strojů a linek s využitím dokumentace.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Kontrola a posuzování funkčnosti a rozměrů zhotovených forem pro tlakové lití v keramice, kritéria hodnocení a), b), c), a odborné kompetence Skladování, manipulace a vedení evidence forem pro tlakové lití v keramice, kritérium hodnocení a), je možné v rámci hospodárného využití času určeného na zkoušku použít připravený výrobek nebo polotovar.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pro tlakové lití v keramice, 2.10.2026 5:33:08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pro tlakové lití v keramice, 2.10.2026 5:33:08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