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C92AE" Type="http://schemas.openxmlformats.org/officeDocument/2006/relationships/officeDocument" Target="/word/document.xml" /><Relationship Id="coreR6ECC92AE" Type="http://schemas.openxmlformats.org/package/2006/relationships/metadata/core-properties" Target="/docProps/core.xml" /><Relationship Id="customR6ECC92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pro tlakové lití v keramice (kód: 28-102-M)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technických podkladech při výrobě forem pro tlakové lití v keramice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forem pro tlakové lití v keramice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forem pro tlakové lití v keramice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tlakové lití v keramice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pro tlakové lití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a PO při výrobě forem pro tlakové lití v keramice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Skladování, manipulace a vedení evidence forem pro tlakové lití v keramice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https://www.nsp.cz/jednotka-prace/vyrobce-sadrovych-forem#zdravotni-zpusobilost).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určí druh a parametry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 odborné kompetenci Obsluha zařízení pro tlakové lití keramických výrobků se realizuje v reálném provozu na pracovních místech u strojů a linek s využitím dokumentace.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Kontrola a posuzování funkčnosti a rozměrů zhotovených forem pro tlakové lití v keramice, kritéria hodnocení a), b), c), a odborné kompetence Skladování, manipulace a vedení evidence forem pro tlakové lití v keramice, kritérium hodnocení a), je možné v rámci hospodárného využití času určeného na zkoušku použít připravený výrobek nebo polotovar.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