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9DA3DD" Type="http://schemas.openxmlformats.org/officeDocument/2006/relationships/officeDocument" Target="/word/document.xml" /><Relationship Id="coreR3C9DA3DD" Type="http://schemas.openxmlformats.org/package/2006/relationships/metadata/core-properties" Target="/docProps/core.xml" /><Relationship Id="customR3C9DA3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vratových systémů (kód: 36-172-H)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kovových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vratových systémů, 10.9.2026 0:27:15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stavebních konstrukcí (kód: 36-99-H/31)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14"/>
        <w:framePr w:w="398" w:h="268" w:hRule="exact" w:wrap="none" w:vAnchor="page" w:hAnchor="margin" w:x="28" w:y="5635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635"/>
        <w:rPr>
          <w:rStyle w:val="C16"/>
          <w:rtl w:val="0"/>
        </w:rPr>
      </w:pPr>
      <w:r>
        <w:rPr>
          <w:rStyle w:val="C16"/>
          <w:rtl w:val="0"/>
        </w:rPr>
        <w:t>Platnost od 5.9.2018 do neomezeně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Montér/montérka vratových systémů (kód: 36-172-H)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Montér kovových stavebních konstrukcí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  <w:r>
        <w:rPr>
          <w:rStyle w:val="C19"/>
          <w:rtl w:val="0"/>
        </w:rPr>
        <w:t>Montér stavebních konstrukcí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vratových systémů, 10.9.2026 0:27:15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