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1F4F2C" Type="http://schemas.openxmlformats.org/officeDocument/2006/relationships/officeDocument" Target="/word/document.xml" /><Relationship Id="coreR121F4F2C" Type="http://schemas.openxmlformats.org/package/2006/relationships/metadata/core-properties" Target="/docProps/core.xml" /><Relationship Id="customR121F4F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kožešinových a usňových oděvů (kód: 32-039-H)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kožešinových a usňových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kožešinových a usňových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Vykrajování a vystřihování dílců pro opravy kožešinových a usňových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Strojové šití při opravách kožešinových a usňových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šití při opravách kožešinových a usňových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Zapracování ozdob a zapínacích součástí do opravovaných kožešinových a usňových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Mechanické úpravy kožešinových a usňových oděvů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Úpravy vzhledu a ošetřování kožešinových a usňových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opravách kožešinových a usňových oděvů.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opravách kožešinových a usňových oděvů.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modelové situace v návaznosti na ověřovanou kompetenci.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druh kožedělného výrobku, ke kterému se budou vztahovat zadané úkoly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Vykrajování a vystřihování dílců pro opravy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Strojové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Zapracování ozdob a zapínacích součástí do opravovaných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Mechanické úpravy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vzhledu a ošetřování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podle typu přijaté opravy,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kožešinových a usňových oděvů určených k opravám (v minimálním počtu 3 - maximálně 5 vzorků) podle zaměření a místa konání zkoušky, typy pracovních operací (seznam ve formě názvů pracovních operací) a umožní uchazeči se s tímto seznámit v předstihu (minimálně 2 týdny)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 počet vzorků (v minimálním počtu 1 -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počet vzorků (v minimálním počtu 5 - maximálně 8 vzorků) podle zaměření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opravy kožešinových a usňových oděvů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