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EC5DD" Type="http://schemas.openxmlformats.org/officeDocument/2006/relationships/officeDocument" Target="/word/document.xml" /><Relationship Id="coreR272EC5DD" Type="http://schemas.openxmlformats.org/package/2006/relationships/metadata/core-properties" Target="/docProps/core.xml" /><Relationship Id="customR272EC5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pro recyklaci kritických surovin (kód: 28-101-M)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recyklace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dokumentech pro kritické suroviny a jejich zdroje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Identifikace zdrojů kritických surovin a navrhování technologických postupů jejich recyklace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kritických surovin, jejich zdrojů a odpadů z jejich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Hodnocení výstupních parametrů recyklátu kritických surovin a jeho vhodnosti pro další zpracování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Diagnostikování technického stavu technologických zařízení pro recyklaci kritických surovin a jejich zdrojů, spolupráce při plánování jeho oprav</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Stanovování a kontrola podmínek pro skladování a přepravu kritických surovin, jejich zdrojů a odpadů z recyklačních procesů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Dodržování zásad bezpečnosti a ochrany zdraví při práci, hygieny práce, požární prevence a ochrany životního prostředí při recyklaci kritických surovin</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Uvést základní právní předpisy, zákony a vyhlášky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zatřiďování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dokumentech pro kritické suroviny a jejich zdroje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Uvést základní dokumenty upravující nakládání s kritickými surovinami a jejich zdroji</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a ústní ověření</w:t>
      </w:r>
    </w:p>
    <w:p>
      <w:pPr>
        <w:pStyle w:val="P16"/>
        <w:framePr w:w="6710" w:h="376" w:hRule="exact" w:wrap="none" w:vAnchor="page" w:hAnchor="margin" w:x="45" w:y="7527"/>
        <w:rPr>
          <w:rStyle w:val="C3"/>
          <w:rtl w:val="0"/>
        </w:rPr>
      </w:pPr>
    </w:p>
    <w:p>
      <w:pPr>
        <w:pStyle w:val="P17"/>
        <w:framePr w:w="6658" w:h="249" w:hRule="exact" w:wrap="none" w:vAnchor="page" w:hAnchor="margin" w:x="71" w:y="7583"/>
        <w:rPr>
          <w:rStyle w:val="C13"/>
          <w:rtl w:val="0"/>
        </w:rPr>
      </w:pPr>
      <w:r>
        <w:rPr>
          <w:rStyle w:val="C13"/>
          <w:rtl w:val="0"/>
        </w:rPr>
        <w:t>b) Popsat hlavní skupiny kritických surovin, jejich hlavní zdroje</w:t>
      </w:r>
    </w:p>
    <w:p>
      <w:pPr>
        <w:pStyle w:val="P30"/>
        <w:framePr w:w="3921" w:h="376" w:hRule="exact" w:wrap="none" w:vAnchor="page" w:hAnchor="margin" w:x="6800" w:y="7527"/>
        <w:rPr>
          <w:rStyle w:val="C3"/>
          <w:rtl w:val="0"/>
        </w:rPr>
      </w:pPr>
    </w:p>
    <w:p>
      <w:pPr>
        <w:pStyle w:val="P31"/>
        <w:framePr w:w="3839" w:h="249" w:hRule="exact" w:wrap="none" w:vAnchor="page" w:hAnchor="margin" w:x="6856" w:y="7583"/>
        <w:rPr>
          <w:rStyle w:val="C22"/>
          <w:rtl w:val="0"/>
        </w:rPr>
      </w:pPr>
      <w:r>
        <w:rPr>
          <w:rStyle w:val="C22"/>
          <w:rtl w:val="0"/>
        </w:rPr>
        <w:t>Písemné a ústní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Vysvětlit vazby mezi oběhovým hospodářstvím a kritickými surovinami v surovinové politice ČR</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a ústní ověření</w:t>
      </w:r>
    </w:p>
    <w:p>
      <w:pPr>
        <w:pStyle w:val="P32"/>
        <w:framePr w:w="10710" w:h="248" w:hRule="exact" w:wrap="none" w:vAnchor="page" w:hAnchor="margin" w:x="28" w:y="8623"/>
        <w:rPr>
          <w:rStyle w:val="C23"/>
          <w:rtl w:val="0"/>
        </w:rPr>
      </w:pPr>
      <w:r>
        <w:rPr>
          <w:rStyle w:val="C23"/>
          <w:rtl w:val="0"/>
        </w:rPr>
        <w:t>Je třeba splnit všechna kritéria.</w:t>
      </w:r>
    </w:p>
    <w:p>
      <w:pPr>
        <w:pStyle w:val="P23"/>
        <w:framePr w:w="10710" w:h="340" w:hRule="exact" w:wrap="none" w:vAnchor="page" w:hAnchor="margin" w:x="28" w:y="9059"/>
        <w:rPr>
          <w:rStyle w:val="C18"/>
          <w:rtl w:val="0"/>
        </w:rPr>
      </w:pPr>
      <w:r>
        <w:rPr>
          <w:rStyle w:val="C18"/>
          <w:rtl w:val="0"/>
        </w:rPr>
        <w:t>Identifikace zdrojů kritických surovin a navrhování technologických postupů jejich recyklace</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376" w:hRule="exact" w:wrap="none" w:vAnchor="page" w:hAnchor="margin" w:x="45" w:y="9874"/>
        <w:rPr>
          <w:rStyle w:val="C3"/>
          <w:rtl w:val="0"/>
        </w:rPr>
      </w:pPr>
    </w:p>
    <w:p>
      <w:pPr>
        <w:pStyle w:val="P13"/>
        <w:framePr w:w="6658" w:h="249" w:hRule="exact" w:wrap="none" w:vAnchor="page" w:hAnchor="margin" w:x="71" w:y="9930"/>
        <w:rPr>
          <w:rStyle w:val="C11"/>
          <w:rtl w:val="0"/>
        </w:rPr>
      </w:pPr>
      <w:r>
        <w:rPr>
          <w:rStyle w:val="C11"/>
          <w:rtl w:val="0"/>
        </w:rPr>
        <w:t>a) Vyjmenovat hlavní primární i sekundární zdroje kritických surovin</w:t>
      </w:r>
    </w:p>
    <w:p>
      <w:pPr>
        <w:pStyle w:val="P28"/>
        <w:framePr w:w="3921" w:h="376" w:hRule="exact" w:wrap="none" w:vAnchor="page" w:hAnchor="margin" w:x="6800" w:y="9874"/>
        <w:rPr>
          <w:rStyle w:val="C3"/>
          <w:rtl w:val="0"/>
        </w:rPr>
      </w:pPr>
    </w:p>
    <w:p>
      <w:pPr>
        <w:pStyle w:val="P29"/>
        <w:framePr w:w="3839" w:h="249" w:hRule="exact" w:wrap="none" w:vAnchor="page" w:hAnchor="margin" w:x="6856" w:y="9930"/>
        <w:rPr>
          <w:rStyle w:val="C21"/>
          <w:rtl w:val="0"/>
        </w:rPr>
      </w:pPr>
      <w:r>
        <w:rPr>
          <w:rStyle w:val="C21"/>
          <w:rtl w:val="0"/>
        </w:rPr>
        <w:t>Písemné a ústní ověření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Popsat základní typy technologií recyklace kritických surovin</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Písemné a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Určit prioritní zdroje kritických surovin v ČR a recyklační omezení</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Popsat základní technologický postup výkupu, shromažďování a zpracování zdrojů kritických surovin</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Písemné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e) Popsat dokumentaci procesu výkupu, shromažďování a zpracování zdrojů kritických surovin</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Písemné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kritických surovin, jejich zdrojů a odpadů z jejich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Vytřídit předložené vzorky zdrojů kritických surovin podle vizuálního posouzení, navrhnout případné doplnění vizuálního posouzení jednoduchou zkouškou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zařazení zdrojů kritických surovin a vytříděných materiálů z recyklace zdrojů kritických surovin podle Katalogu odpadů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Označit v předloženém vzorku zbytkové, nepoužitelné a nebezpečné odpady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Hodnocení výstupních parametrů recyklátu kritických surovin a jeho vhodnosti pro další zpracování a využití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Navrhnout systém vyhodnocování parametrů výstupů z recyklace předložených zdrojů kritických surovin</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Analyzovat vzniklé odchylky při recyklačním procesu a navrhnout jejich eliminaci v souladu s technickými možnostmi daného recyklačního zařízení</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831" w:hRule="exact" w:wrap="none" w:vAnchor="page" w:hAnchor="margin" w:x="45" w:y="7800"/>
        <w:rPr>
          <w:rStyle w:val="C3"/>
          <w:rtl w:val="0"/>
        </w:rPr>
      </w:pPr>
    </w:p>
    <w:p>
      <w:pPr>
        <w:pStyle w:val="P13"/>
        <w:framePr w:w="6658" w:h="704" w:hRule="exact" w:wrap="none" w:vAnchor="page" w:hAnchor="margin" w:x="71" w:y="7856"/>
        <w:rPr>
          <w:rStyle w:val="C11"/>
          <w:rtl w:val="0"/>
        </w:rPr>
      </w:pPr>
      <w:r>
        <w:rPr>
          <w:rStyle w:val="C11"/>
          <w:rtl w:val="0"/>
        </w:rPr>
        <w:t>c) Vyhodnotit rozdíly mezi parametry plánovaných a získaných výstupů recyklace určených zdrojů kritických surovin, navrhnout změnu technologického postupu</w:t>
      </w:r>
    </w:p>
    <w:p>
      <w:pPr>
        <w:pStyle w:val="P28"/>
        <w:framePr w:w="3921" w:h="831" w:hRule="exact" w:wrap="none" w:vAnchor="page" w:hAnchor="margin" w:x="6800" w:y="7800"/>
        <w:rPr>
          <w:rStyle w:val="C3"/>
          <w:rtl w:val="0"/>
        </w:rPr>
      </w:pPr>
    </w:p>
    <w:p>
      <w:pPr>
        <w:pStyle w:val="P29"/>
        <w:framePr w:w="3839" w:h="704"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631"/>
        <w:rPr>
          <w:rStyle w:val="C3"/>
          <w:rtl w:val="0"/>
        </w:rPr>
      </w:pPr>
    </w:p>
    <w:p>
      <w:pPr>
        <w:pStyle w:val="P17"/>
        <w:framePr w:w="6658" w:h="480" w:hRule="exact" w:wrap="none" w:vAnchor="page" w:hAnchor="margin" w:x="71" w:y="8687"/>
        <w:rPr>
          <w:rStyle w:val="C13"/>
          <w:rtl w:val="0"/>
        </w:rPr>
      </w:pPr>
      <w:r>
        <w:rPr>
          <w:rStyle w:val="C13"/>
          <w:rtl w:val="0"/>
        </w:rPr>
        <w:t>d) Popsat požadavky na dokumentaci shody u výstupů z recyklace zdrojů kritických surovin</w:t>
      </w:r>
    </w:p>
    <w:p>
      <w:pPr>
        <w:pStyle w:val="P30"/>
        <w:framePr w:w="3921" w:h="607" w:hRule="exact" w:wrap="none" w:vAnchor="page" w:hAnchor="margin" w:x="6800" w:y="8631"/>
        <w:rPr>
          <w:rStyle w:val="C3"/>
          <w:rtl w:val="0"/>
        </w:rPr>
      </w:pPr>
    </w:p>
    <w:p>
      <w:pPr>
        <w:pStyle w:val="P31"/>
        <w:framePr w:w="3839" w:h="480" w:hRule="exact" w:wrap="none" w:vAnchor="page" w:hAnchor="margin" w:x="6856" w:y="8687"/>
        <w:rPr>
          <w:rStyle w:val="C22"/>
          <w:rtl w:val="0"/>
        </w:rPr>
      </w:pPr>
      <w:r>
        <w:rPr>
          <w:rStyle w:val="C22"/>
          <w:rtl w:val="0"/>
        </w:rPr>
        <w:t>Písemné a ústní ověření</w:t>
      </w:r>
    </w:p>
    <w:p>
      <w:pPr>
        <w:pStyle w:val="P32"/>
        <w:framePr w:w="10710" w:h="248" w:hRule="exact" w:wrap="none" w:vAnchor="page" w:hAnchor="margin" w:x="28" w:y="9351"/>
        <w:rPr>
          <w:rStyle w:val="C23"/>
          <w:rtl w:val="0"/>
        </w:rPr>
      </w:pPr>
      <w:r>
        <w:rPr>
          <w:rStyle w:val="C23"/>
          <w:rtl w:val="0"/>
        </w:rPr>
        <w:t>Je třeba splnit všechna kritéria.</w:t>
      </w:r>
    </w:p>
    <w:p>
      <w:pPr>
        <w:pStyle w:val="P23"/>
        <w:framePr w:w="10710" w:h="547" w:hRule="exact" w:wrap="none" w:vAnchor="page" w:hAnchor="margin" w:x="28" w:y="9787"/>
        <w:rPr>
          <w:rStyle w:val="C18"/>
          <w:rtl w:val="0"/>
        </w:rPr>
      </w:pPr>
      <w:r>
        <w:rPr>
          <w:rStyle w:val="C18"/>
          <w:rtl w:val="0"/>
        </w:rPr>
        <w:t>Diagnostikování technického stavu technologických zařízení pro recyklaci kritických surovin a jejich zdrojů, spolupráce při plánování jeho oprav</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607" w:hRule="exact" w:wrap="none" w:vAnchor="page" w:hAnchor="margin" w:x="45" w:y="10810"/>
        <w:rPr>
          <w:rStyle w:val="C3"/>
          <w:rtl w:val="0"/>
        </w:rPr>
      </w:pPr>
    </w:p>
    <w:p>
      <w:pPr>
        <w:pStyle w:val="P13"/>
        <w:framePr w:w="6658" w:h="480" w:hRule="exact" w:wrap="none" w:vAnchor="page" w:hAnchor="margin" w:x="71" w:y="10866"/>
        <w:rPr>
          <w:rStyle w:val="C11"/>
          <w:rtl w:val="0"/>
        </w:rPr>
      </w:pPr>
      <w:r>
        <w:rPr>
          <w:rStyle w:val="C11"/>
          <w:rtl w:val="0"/>
        </w:rPr>
        <w:t>a) Uvést obecné zásady péče o určené zařízení k materiálové recyklaci zdrojů kritických surovin, vazba na obsah provozního řádu</w:t>
      </w:r>
    </w:p>
    <w:p>
      <w:pPr>
        <w:pStyle w:val="P28"/>
        <w:framePr w:w="3921" w:h="607" w:hRule="exact" w:wrap="none" w:vAnchor="page" w:hAnchor="margin" w:x="6800" w:y="10810"/>
        <w:rPr>
          <w:rStyle w:val="C3"/>
          <w:rtl w:val="0"/>
        </w:rPr>
      </w:pPr>
    </w:p>
    <w:p>
      <w:pPr>
        <w:pStyle w:val="P29"/>
        <w:framePr w:w="3839" w:h="480" w:hRule="exact" w:wrap="none" w:vAnchor="page" w:hAnchor="margin" w:x="6856" w:y="10866"/>
        <w:rPr>
          <w:rStyle w:val="C21"/>
          <w:rtl w:val="0"/>
        </w:rPr>
      </w:pPr>
      <w:r>
        <w:rPr>
          <w:rStyle w:val="C21"/>
          <w:rtl w:val="0"/>
        </w:rPr>
        <w:t>Písemné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Označit kritická místa určeného zařízení pro recyklaci kritických surovin s ohledem na minimalizaci rizika vzniku provozních poruch</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3"/>
        <w:rPr>
          <w:rStyle w:val="C3"/>
          <w:rtl w:val="0"/>
        </w:rPr>
      </w:pPr>
    </w:p>
    <w:p>
      <w:pPr>
        <w:pStyle w:val="P13"/>
        <w:framePr w:w="6658" w:h="480" w:hRule="exact" w:wrap="none" w:vAnchor="page" w:hAnchor="margin" w:x="71" w:y="12079"/>
        <w:rPr>
          <w:rStyle w:val="C11"/>
          <w:rtl w:val="0"/>
        </w:rPr>
      </w:pPr>
      <w:r>
        <w:rPr>
          <w:rStyle w:val="C11"/>
          <w:rtl w:val="0"/>
        </w:rPr>
        <w:t>c) Zpracovat příkaz na provádění plánované údržby daného recyklačního zařízení</w:t>
      </w:r>
    </w:p>
    <w:p>
      <w:pPr>
        <w:pStyle w:val="P28"/>
        <w:framePr w:w="3921" w:h="607" w:hRule="exact" w:wrap="none" w:vAnchor="page" w:hAnchor="margin" w:x="6800" w:y="12023"/>
        <w:rPr>
          <w:rStyle w:val="C3"/>
          <w:rtl w:val="0"/>
        </w:rPr>
      </w:pPr>
    </w:p>
    <w:p>
      <w:pPr>
        <w:pStyle w:val="P29"/>
        <w:framePr w:w="3839" w:h="480" w:hRule="exact" w:wrap="none" w:vAnchor="page" w:hAnchor="margin" w:x="6856" w:y="12079"/>
        <w:rPr>
          <w:rStyle w:val="C21"/>
          <w:rtl w:val="0"/>
        </w:rPr>
      </w:pPr>
      <w:r>
        <w:rPr>
          <w:rStyle w:val="C21"/>
          <w:rtl w:val="0"/>
        </w:rPr>
        <w:t>Praktické předvedení</w:t>
      </w:r>
    </w:p>
    <w:p>
      <w:pPr>
        <w:pStyle w:val="P32"/>
        <w:framePr w:w="10710" w:h="248" w:hRule="exact" w:wrap="none" w:vAnchor="page" w:hAnchor="margin" w:x="28" w:y="12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a kontrola podmínek pro skladování a přepravu kritických surovin, jejich zdrojů a odpadů z recyklačních procesů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Vyhodnotit místa pro skladování zdrojů kritických surovin a výstupů z jejich recyklace podle předpisů surovinového a odpadového hospodářství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označování a skladování kritických surovin a jejich zdrojů tak, aby nedocházelo ke znečištění ovzduší, vody a půdy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 xml:space="preserve">c) Navrhnout opatření zamezující smíchání nebo znečištění výstupů z recyklace zdrojů kritických surovin,  kontrola  v průběhu skladování a přepravy kritických surovin a jejich zdrojů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Zkontrolovat přípravu výstupu z procesu recyklace zdrojů kritických surovin k přepravě podle požadavků evropských nebo mezinárodních předpisů</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607" w:hRule="exact" w:wrap="none" w:vAnchor="page" w:hAnchor="margin" w:x="45" w:y="7625"/>
        <w:rPr>
          <w:rStyle w:val="C3"/>
          <w:rtl w:val="0"/>
        </w:rPr>
      </w:pPr>
    </w:p>
    <w:p>
      <w:pPr>
        <w:pStyle w:val="P13"/>
        <w:framePr w:w="6658" w:h="480" w:hRule="exact" w:wrap="none" w:vAnchor="page" w:hAnchor="margin" w:x="71" w:y="7681"/>
        <w:rPr>
          <w:rStyle w:val="C11"/>
          <w:rtl w:val="0"/>
        </w:rPr>
      </w:pPr>
      <w:r>
        <w:rPr>
          <w:rStyle w:val="C11"/>
          <w:rtl w:val="0"/>
        </w:rPr>
        <w:t>a) Přidělit práci simulovanému pracovnímu kolektivu podle specializace jeho členů</w:t>
      </w:r>
    </w:p>
    <w:p>
      <w:pPr>
        <w:pStyle w:val="P28"/>
        <w:framePr w:w="3921" w:h="607" w:hRule="exact" w:wrap="none" w:vAnchor="page" w:hAnchor="margin" w:x="6800" w:y="7625"/>
        <w:rPr>
          <w:rStyle w:val="C3"/>
          <w:rtl w:val="0"/>
        </w:rPr>
      </w:pPr>
    </w:p>
    <w:p>
      <w:pPr>
        <w:pStyle w:val="P29"/>
        <w:framePr w:w="3839" w:h="480" w:hRule="exact" w:wrap="none" w:vAnchor="page" w:hAnchor="margin" w:x="6856" w:y="7681"/>
        <w:rPr>
          <w:rStyle w:val="C21"/>
          <w:rtl w:val="0"/>
        </w:rPr>
      </w:pPr>
      <w:r>
        <w:rPr>
          <w:rStyle w:val="C21"/>
          <w:rtl w:val="0"/>
        </w:rPr>
        <w:t>Praktické předvedení a ústní ověření</w:t>
      </w:r>
    </w:p>
    <w:p>
      <w:pPr>
        <w:pStyle w:val="P16"/>
        <w:framePr w:w="6710" w:h="376" w:hRule="exact" w:wrap="none" w:vAnchor="page" w:hAnchor="margin" w:x="45" w:y="8232"/>
        <w:rPr>
          <w:rStyle w:val="C3"/>
          <w:rtl w:val="0"/>
        </w:rPr>
      </w:pPr>
    </w:p>
    <w:p>
      <w:pPr>
        <w:pStyle w:val="P17"/>
        <w:framePr w:w="6658" w:h="249" w:hRule="exact" w:wrap="none" w:vAnchor="page" w:hAnchor="margin" w:x="71" w:y="8288"/>
        <w:rPr>
          <w:rStyle w:val="C13"/>
          <w:rtl w:val="0"/>
        </w:rPr>
      </w:pPr>
      <w:r>
        <w:rPr>
          <w:rStyle w:val="C13"/>
          <w:rtl w:val="0"/>
        </w:rPr>
        <w:t>b) Navrhnout systém kontroly plnění přidělených úkolů</w:t>
      </w:r>
    </w:p>
    <w:p>
      <w:pPr>
        <w:pStyle w:val="P30"/>
        <w:framePr w:w="3921" w:h="376" w:hRule="exact" w:wrap="none" w:vAnchor="page" w:hAnchor="margin" w:x="6800" w:y="8232"/>
        <w:rPr>
          <w:rStyle w:val="C3"/>
          <w:rtl w:val="0"/>
        </w:rPr>
      </w:pPr>
    </w:p>
    <w:p>
      <w:pPr>
        <w:pStyle w:val="P31"/>
        <w:framePr w:w="3839" w:h="249" w:hRule="exact" w:wrap="none" w:vAnchor="page" w:hAnchor="margin" w:x="6856" w:y="8288"/>
        <w:rPr>
          <w:rStyle w:val="C22"/>
          <w:rtl w:val="0"/>
        </w:rPr>
      </w:pPr>
      <w:r>
        <w:rPr>
          <w:rStyle w:val="C22"/>
          <w:rtl w:val="0"/>
        </w:rPr>
        <w:t>Praktické předvedení a ústní ověření</w:t>
      </w:r>
    </w:p>
    <w:p>
      <w:pPr>
        <w:pStyle w:val="P12"/>
        <w:framePr w:w="6710" w:h="607" w:hRule="exact" w:wrap="none" w:vAnchor="page" w:hAnchor="margin" w:x="45" w:y="8608"/>
        <w:rPr>
          <w:rStyle w:val="C3"/>
          <w:rtl w:val="0"/>
        </w:rPr>
      </w:pPr>
    </w:p>
    <w:p>
      <w:pPr>
        <w:pStyle w:val="P13"/>
        <w:framePr w:w="6658" w:h="480" w:hRule="exact" w:wrap="none" w:vAnchor="page" w:hAnchor="margin" w:x="71" w:y="8664"/>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8608"/>
        <w:rPr>
          <w:rStyle w:val="C3"/>
          <w:rtl w:val="0"/>
        </w:rPr>
      </w:pPr>
    </w:p>
    <w:p>
      <w:pPr>
        <w:pStyle w:val="P29"/>
        <w:framePr w:w="3839" w:h="480" w:hRule="exact" w:wrap="none" w:vAnchor="page" w:hAnchor="margin" w:x="6856" w:y="8664"/>
        <w:rPr>
          <w:rStyle w:val="C21"/>
          <w:rtl w:val="0"/>
        </w:rPr>
      </w:pPr>
      <w:r>
        <w:rPr>
          <w:rStyle w:val="C21"/>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547" w:hRule="exact" w:wrap="none" w:vAnchor="page" w:hAnchor="margin" w:x="28" w:y="9764"/>
        <w:rPr>
          <w:rStyle w:val="C18"/>
          <w:rtl w:val="0"/>
        </w:rPr>
      </w:pPr>
      <w:r>
        <w:rPr>
          <w:rStyle w:val="C18"/>
          <w:rtl w:val="0"/>
        </w:rPr>
        <w:t>Dodržování zásad bezpečnosti a ochrany zdraví při práci, hygieny práce, požární prevence a ochrany životního prostředí při recyklaci kritických surovin</w:t>
      </w:r>
    </w:p>
    <w:p>
      <w:pPr>
        <w:pStyle w:val="P24"/>
        <w:framePr w:w="6713" w:h="376" w:hRule="exact" w:wrap="none" w:vAnchor="page" w:hAnchor="margin" w:x="45" w:y="10410"/>
        <w:rPr>
          <w:rStyle w:val="C3"/>
          <w:rtl w:val="0"/>
        </w:rPr>
      </w:pPr>
    </w:p>
    <w:p>
      <w:pPr>
        <w:pStyle w:val="P25"/>
        <w:framePr w:w="6661" w:h="249" w:hRule="exact" w:wrap="none" w:vAnchor="page" w:hAnchor="margin" w:x="71" w:y="10481"/>
        <w:rPr>
          <w:rStyle w:val="C19"/>
          <w:rtl w:val="0"/>
        </w:rPr>
      </w:pPr>
      <w:r>
        <w:rPr>
          <w:rStyle w:val="C19"/>
          <w:rtl w:val="0"/>
        </w:rPr>
        <w:t>Kritéria hodnocení</w:t>
      </w:r>
    </w:p>
    <w:p>
      <w:pPr>
        <w:pStyle w:val="P26"/>
        <w:framePr w:w="3918" w:h="376" w:hRule="exact" w:wrap="none" w:vAnchor="page" w:hAnchor="margin" w:x="6803" w:y="10410"/>
        <w:rPr>
          <w:rStyle w:val="C3"/>
          <w:rtl w:val="0"/>
        </w:rPr>
      </w:pPr>
    </w:p>
    <w:p>
      <w:pPr>
        <w:pStyle w:val="P27"/>
        <w:framePr w:w="3836" w:h="249" w:hRule="exact" w:wrap="none" w:vAnchor="page" w:hAnchor="margin" w:x="6859" w:y="10481"/>
        <w:rPr>
          <w:rStyle w:val="C20"/>
          <w:rtl w:val="0"/>
        </w:rPr>
      </w:pPr>
      <w:r>
        <w:rPr>
          <w:rStyle w:val="C20"/>
          <w:rtl w:val="0"/>
        </w:rPr>
        <w:t>Způsoby ověření</w:t>
      </w:r>
    </w:p>
    <w:p>
      <w:pPr>
        <w:pStyle w:val="P12"/>
        <w:framePr w:w="6710" w:h="607" w:hRule="exact" w:wrap="none" w:vAnchor="page" w:hAnchor="margin" w:x="45" w:y="10786"/>
        <w:rPr>
          <w:rStyle w:val="C3"/>
          <w:rtl w:val="0"/>
        </w:rPr>
      </w:pPr>
    </w:p>
    <w:p>
      <w:pPr>
        <w:pStyle w:val="P13"/>
        <w:framePr w:w="6658" w:h="480" w:hRule="exact" w:wrap="none" w:vAnchor="page" w:hAnchor="margin" w:x="71" w:y="10842"/>
        <w:rPr>
          <w:rStyle w:val="C11"/>
          <w:rtl w:val="0"/>
        </w:rPr>
      </w:pPr>
      <w:r>
        <w:rPr>
          <w:rStyle w:val="C11"/>
          <w:rtl w:val="0"/>
        </w:rPr>
        <w:t>a) Charakterizovat legislativní předpisy pro zajištění bezpečnosti a ochrany zdraví při práci v zařízeních pro recyklaci</w:t>
      </w:r>
    </w:p>
    <w:p>
      <w:pPr>
        <w:pStyle w:val="P28"/>
        <w:framePr w:w="3921" w:h="607" w:hRule="exact" w:wrap="none" w:vAnchor="page" w:hAnchor="margin" w:x="6800" w:y="10786"/>
        <w:rPr>
          <w:rStyle w:val="C3"/>
          <w:rtl w:val="0"/>
        </w:rPr>
      </w:pPr>
    </w:p>
    <w:p>
      <w:pPr>
        <w:pStyle w:val="P29"/>
        <w:framePr w:w="3839" w:h="480" w:hRule="exact" w:wrap="none" w:vAnchor="page" w:hAnchor="margin" w:x="6856" w:y="10842"/>
        <w:rPr>
          <w:rStyle w:val="C21"/>
          <w:rtl w:val="0"/>
        </w:rPr>
      </w:pPr>
      <w:r>
        <w:rPr>
          <w:rStyle w:val="C21"/>
          <w:rtl w:val="0"/>
        </w:rPr>
        <w:t>Písemné a ústní ověření</w:t>
      </w:r>
    </w:p>
    <w:p>
      <w:pPr>
        <w:pStyle w:val="P16"/>
        <w:framePr w:w="6710" w:h="607" w:hRule="exact" w:wrap="none" w:vAnchor="page" w:hAnchor="margin" w:x="45" w:y="11393"/>
        <w:rPr>
          <w:rStyle w:val="C3"/>
          <w:rtl w:val="0"/>
        </w:rPr>
      </w:pPr>
    </w:p>
    <w:p>
      <w:pPr>
        <w:pStyle w:val="P17"/>
        <w:framePr w:w="6658" w:h="480" w:hRule="exact" w:wrap="none" w:vAnchor="page" w:hAnchor="margin" w:x="71" w:y="11449"/>
        <w:rPr>
          <w:rStyle w:val="C13"/>
          <w:rtl w:val="0"/>
        </w:rPr>
      </w:pPr>
      <w:r>
        <w:rPr>
          <w:rStyle w:val="C13"/>
          <w:rtl w:val="0"/>
        </w:rPr>
        <w:t>b) Určit z katalogu předepsané ochranné pomůcky při práci v zařízení na recyklaci odpadů a druhotných surovin</w:t>
      </w:r>
    </w:p>
    <w:p>
      <w:pPr>
        <w:pStyle w:val="P30"/>
        <w:framePr w:w="3921" w:h="607" w:hRule="exact" w:wrap="none" w:vAnchor="page" w:hAnchor="margin" w:x="6800" w:y="11393"/>
        <w:rPr>
          <w:rStyle w:val="C3"/>
          <w:rtl w:val="0"/>
        </w:rPr>
      </w:pPr>
    </w:p>
    <w:p>
      <w:pPr>
        <w:pStyle w:val="P31"/>
        <w:framePr w:w="3839" w:h="480" w:hRule="exact" w:wrap="none" w:vAnchor="page" w:hAnchor="margin" w:x="6856" w:y="11449"/>
        <w:rPr>
          <w:rStyle w:val="C22"/>
          <w:rtl w:val="0"/>
        </w:rPr>
      </w:pPr>
      <w:r>
        <w:rPr>
          <w:rStyle w:val="C22"/>
          <w:rtl w:val="0"/>
        </w:rPr>
        <w:t>Praktické předvedení</w:t>
      </w:r>
    </w:p>
    <w:p>
      <w:pPr>
        <w:pStyle w:val="P12"/>
        <w:framePr w:w="6710" w:h="607" w:hRule="exact" w:wrap="none" w:vAnchor="page" w:hAnchor="margin" w:x="45" w:y="12000"/>
        <w:rPr>
          <w:rStyle w:val="C3"/>
          <w:rtl w:val="0"/>
        </w:rPr>
      </w:pPr>
    </w:p>
    <w:p>
      <w:pPr>
        <w:pStyle w:val="P13"/>
        <w:framePr w:w="6658" w:h="480" w:hRule="exact" w:wrap="none" w:vAnchor="page" w:hAnchor="margin" w:x="71" w:y="1205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00"/>
        <w:rPr>
          <w:rStyle w:val="C3"/>
          <w:rtl w:val="0"/>
        </w:rPr>
      </w:pPr>
    </w:p>
    <w:p>
      <w:pPr>
        <w:pStyle w:val="P29"/>
        <w:framePr w:w="3839" w:h="480" w:hRule="exact" w:wrap="none" w:vAnchor="page" w:hAnchor="margin" w:x="6856" w:y="12056"/>
        <w:rPr>
          <w:rStyle w:val="C21"/>
          <w:rtl w:val="0"/>
        </w:rPr>
      </w:pPr>
      <w:r>
        <w:rPr>
          <w:rStyle w:val="C21"/>
          <w:rtl w:val="0"/>
        </w:rPr>
        <w:t>Písemné a ústní ověření</w:t>
      </w:r>
    </w:p>
    <w:p>
      <w:pPr>
        <w:pStyle w:val="P16"/>
        <w:framePr w:w="6710" w:h="607" w:hRule="exact" w:wrap="none" w:vAnchor="page" w:hAnchor="margin" w:x="45" w:y="12607"/>
        <w:rPr>
          <w:rStyle w:val="C3"/>
          <w:rtl w:val="0"/>
        </w:rPr>
      </w:pPr>
    </w:p>
    <w:p>
      <w:pPr>
        <w:pStyle w:val="P17"/>
        <w:framePr w:w="6658" w:h="480" w:hRule="exact" w:wrap="none" w:vAnchor="page" w:hAnchor="margin" w:x="71" w:y="12663"/>
        <w:rPr>
          <w:rStyle w:val="C13"/>
          <w:rtl w:val="0"/>
        </w:rPr>
      </w:pPr>
      <w:r>
        <w:rPr>
          <w:rStyle w:val="C13"/>
          <w:rtl w:val="0"/>
        </w:rPr>
        <w:t>d) Popsat specifické požadavky bezpečnosti práce a hygieny práce v recyklačním zařízení pro kritické suroviny</w:t>
      </w:r>
    </w:p>
    <w:p>
      <w:pPr>
        <w:pStyle w:val="P30"/>
        <w:framePr w:w="3921" w:h="607" w:hRule="exact" w:wrap="none" w:vAnchor="page" w:hAnchor="margin" w:x="6800" w:y="12607"/>
        <w:rPr>
          <w:rStyle w:val="C3"/>
          <w:rtl w:val="0"/>
        </w:rPr>
      </w:pPr>
    </w:p>
    <w:p>
      <w:pPr>
        <w:pStyle w:val="P31"/>
        <w:framePr w:w="3839" w:h="480" w:hRule="exact" w:wrap="none" w:vAnchor="page" w:hAnchor="margin" w:x="6856" w:y="12663"/>
        <w:rPr>
          <w:rStyle w:val="C22"/>
          <w:rtl w:val="0"/>
        </w:rPr>
      </w:pPr>
      <w:r>
        <w:rPr>
          <w:rStyle w:val="C22"/>
          <w:rtl w:val="0"/>
        </w:rPr>
        <w:t>Písemné a ústní ověření</w:t>
      </w:r>
    </w:p>
    <w:p>
      <w:pPr>
        <w:pStyle w:val="P32"/>
        <w:framePr w:w="10710" w:h="248" w:hRule="exact" w:wrap="none" w:vAnchor="page" w:hAnchor="margin" w:x="28" w:y="13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kritériím nejméně dvě úlohy, které umožní ověřit příslušná kritéria. Zkoušející také podle zaměření uchazeče zpřesní komoditní obsah části zkoušky na vybrané (určené) druhy kritických surovin. Výběr nejméně dvou komoditně odlišných vzorků stanoví autorizovaná osoba podle odborného zaměření uchazeče o zkoušku.</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získaných surovin a nakládání s nebezpečnými odpady.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zdrojů kritických surovin a jejich znečištění bude uchazeč vycházet z informace zkoušejícího, jak je vzorek deklarován, jaké zdroje kritických surovin obsahuje; jeho úkolem je podle jejich charakteristik rozlišit druhy podle původu a odhadnout, o zdroj jakých kritických surovin se jedná. Uchazeč bude také hodnotit, jaký materiál je v konkrétním zdroji kritických surovin považován za znečištění. Důležitý je i proces hodnocení vzorku uchazečem.</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ručním třídění bude uchazeč postupovat podle návodu nebo předpisu a svůj postup zdůvodní. Pro tuto činnost si uchazeč sám vybere vhodné ochranné osobní pomůcky, případně nářadí.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manipulační prostředky a skladové nádoby nebo kontejnery bude uchazeč při praktickém ověření vybírat z předložených katalogů nebo poskytnutých prostředků.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vytěženými zdroji kritických surovin a zbytkovými odpady, označování skladových kontejnerů, sběrných nádob a míst k uložení nebezpečných odpadů, požadavky na bezpečné zacházení s konkrétním nářadím nebo zařízením) dostane uchazeč dle rozhodnutí autorizované osoby k dispozici v době přípravy na zkoušku. Uchazeč musí znát obecné povinnosti zaměstnance vyplývající z bezpečnostních a požárních předpisů.</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a kvalitě provedení operací uchazečem.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písemném ověřování je uchazeči zadán úkol, uchazeč vypracuje podle zadání popis, charakteristiku, seznam požadavků, parametrů, doplněné o jejich vysvětlení a zdůvodnění.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zpracovaného úkolu, zadání, ve smyslu doplnění informací nebo doplnění vysvětlení.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keepNext w:val="0"/>
        <w:keepLines w:val="0"/>
        <w:framePr w:w="10766" w:h="10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Výsledné hodnocení</w:t>
      </w:r>
    </w:p>
    <w:p>
      <w:pPr>
        <w:keepNext w:val="0"/>
        <w:keepLines w:val="0"/>
        <w:framePr w:w="10766" w:h="1497" w:hRule="exact" w:wrap="none" w:vAnchor="page" w:hAnchor="margin" w:x="0" w:y="13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metalurgie nebo elektrotechnika nebo stavebnictví nebo chemie nebo průmyslová ekologie a alespoň 5 let odborné praxe ve firmách zabývající se recyklací nebo ve funkci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nebo metalurgii nebo elektrotechniku nebo stavebnictví nebo chemii nebo průmyslovou ekologii a alespoň 5 let odborné praxe ve firmách zabývajících se recyklací, nebo ve funkci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metalurgii nebo elektrotechniku nebo stavebnictví nebo chemii nebo průmyslovou ekologii a alespoň 5 let odborné praxe ve firmách zabývajících se recyklací, nebo ve funkci učitele odborných předmětů nebo učitele praktického vyučování nebo učitele odborného výcviku v oblasti recyklace odpadů a druhotných surovin.</w:t>
      </w:r>
    </w:p>
    <w:p>
      <w:pPr>
        <w:keepNext w:val="0"/>
        <w:keepLines w:val="1"/>
        <w:framePr w:w="10766" w:h="873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 oblasti recyklace v kvalifikační úrovni 4, 5 nebo 6 a střední vzdělání s maturitní zkouškou a alespoň 5 let odborné praxe ve firmách zabývajících se recyklací.</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legislativní dokumenty (vždy v platném znění)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•Critical Raw Materials for EU(EC, July 2010)</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 (2014)297 final ,Sdělení Komise o přezkumu kritických surovin pro EU</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kritických surovin EU a jejich členění</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•Surovinová politika České republiky v oblasti nerostných surovin a jejich zdrojů, I. Část - neenergetické suroviny, MPO, 2014</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•Opatření na podporu získávání kritických surovin (Rámcová pozice ČR k Akčnímu plánu EU pro oběhové hospodářství, 2015)</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v platném znění: o odpadech, o výrobcích s ukončenou životností, o ochraně zdraví při práci</w:t>
      </w:r>
    </w:p>
    <w:p>
      <w:pPr>
        <w:keepNext w:val="0"/>
        <w:keepLines w:val="1"/>
        <w:framePr w:w="10766" w:h="121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•Vyhlášky v platném znění: Katalog odpadů, o podrobnostech nakládání s odpady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doporučené zdroje informací podle operativní potřeby a požadavků zkoušejícího</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•Rambousek, P., Starý, J.: Potenciální zdroje kritických surovin v ČR, Česká geologická služba, 2014</w:t>
      </w:r>
    </w:p>
    <w:p>
      <w:pPr>
        <w:keepNext w:val="0"/>
        <w:keepLines w:val="1"/>
        <w:framePr w:w="10766" w:h="121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•Analýza potenciálu kritických surovin (Projekt TB030MPO005, Technologická agentura ČR, 2015)</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 ČSN 44 1301 - 4 Principy vzorkování</w:t>
      </w:r>
    </w:p>
    <w:p>
      <w:pPr>
        <w:keepNext w:val="0"/>
        <w:keepLines w:val="1"/>
        <w:framePr w:w="10766" w:h="1217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manipulačních prostředků</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sběrných nádob</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interní předpisy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návody k demontáži, rozebírání nosičů kritických surovin, pro jejich třídění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speciální ochranné pracovní pomůcky k zařízením, na kterých bude zkouška probíhat</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a prostory umožňující příjem odpadů – nosičů kritických surovin, jejich shromažďování, třídění, separaci, skladování a expedici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dva vzorky směsných odpadů kovů, plastů, skla se seznamem odpadů obsažených ve vzorku</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•Mechanismy a prostory potřebné pro ověřování kritérií založených na formě praktického předvedení, nástroje na demontáž (šroubováky, kleště, sady klíčů, kladiva, nálevky, filtry, váhy)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nebo učebnu pro vykonání písemné zkoušky</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přístroje (například měření vlhkosti, rtg-analyzátor) </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periferiemi</w:t>
      </w:r>
    </w:p>
    <w:p>
      <w:pPr>
        <w:keepNext w:val="0"/>
        <w:keepLines w:val="1"/>
        <w:framePr w:w="10766" w:h="1217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dokumenty a prostředky podle operativních potřeb zkoušejícího</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faktoring,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pro recyklaci kritických surovin, 17.4.2026 0:35:45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C2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C26E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641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CD92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297CF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CE2792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