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9CEA24" Type="http://schemas.openxmlformats.org/officeDocument/2006/relationships/officeDocument" Target="/word/document.xml" /><Relationship Id="coreR329CEA24" Type="http://schemas.openxmlformats.org/package/2006/relationships/metadata/core-properties" Target="/docProps/core.xml" /><Relationship Id="customR329CEA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Modelář/modelářka obuvnických kopyt (kód: 32-041-M)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při výrobě obuvnických kopyt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dokumentace, názvosloví a značení obuvnických kopyt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normalizace při výrobě obuvnických kopyt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obuvnických kopyt a materiálů pro jejich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strojů a zařízení pro modelování obuvnických kopyt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Zhotovení návrhu a modelu obuvnického kopyta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Konstruování obuvnických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Zhotovení stélky obuvnického kopyta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Konstruování podélného profilu a kopie obuvnického kopyta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Zhotovení modelu obuvnického kopyta a centrování kopyt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zásad při kontrukci obuvnického kopyta zdravotně nezávadného obouvání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https://nsp.cz/jednotka-prace/drevomodelar-4997#zdravotni-zpusobilost).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výroby obuvnických kopyt.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obuvnických kopyt.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strojů a zařízení pro modelování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konkrétní pracovní operace na strojích a zařízení pro výrobu obuvnických kopyt, ke kterým se budou vztahovat zadané úkoly.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stélky obuvnického kopyta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modelu obuvnického kopyta a centrování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 a b) druh technologického zařízení, ke kterému se budou vztahovat zadané úkoly.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hodnocení je třeba sledovat používání odborné terminologie a využívání odborných znalostí.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 centrum,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