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00F3F6" Type="http://schemas.openxmlformats.org/officeDocument/2006/relationships/officeDocument" Target="/word/document.xml" /><Relationship Id="coreR1000F3F6" Type="http://schemas.openxmlformats.org/package/2006/relationships/metadata/core-properties" Target="/docProps/core.xml" /><Relationship Id="customR1000F3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sedlářské výrobě (kód: 32-043-E)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kvality materiálů používaných v sedlářské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jednoduchých pracovních operací při výrobě sedlářských dílců a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Spojování dílců a součástí ručním a strojním šitím v sedlářské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jednoduchých úprav součástí a hotových výrobků v sedlářské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Konečná úprava vzhledu sedlářských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sedlářské výrobě, 20.10.2026 6:40:55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https://www.nsp.cz/jednotka-prace/brasnar#zdravotni-zpusobilost).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kožedělné (sedlářské) výroby.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 výrobklu, k používaným pracovním postupům a k samostatnosti při řešení jednotlivých kritérií hodnocení.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sedlářské výrobě, 20.10.2026 6:40:55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Columna,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sedlářské výrobě, 20.10.2026 6:40:55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