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E7C516" Type="http://schemas.openxmlformats.org/officeDocument/2006/relationships/officeDocument" Target="/word/document.xml" /><Relationship Id="coreR6CE7C516" Type="http://schemas.openxmlformats.org/package/2006/relationships/metadata/core-properties" Target="/docProps/core.xml" /><Relationship Id="customR6CE7C5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světelný technik / samostatná světelná technička (kód: 26-083-R)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projektant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Konstrukce svítidel a světelné techniky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Realizace technického návrhu a projektu osvětlení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dodržení požadavků ekodesignu z hlediska použitých materiálů v návrhu elektrického nebo elektronického zařízení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Dodržování bezpečnosti práce při realizaci projektu osvětlení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světelný technik / samostatná světelná technička, 20.10.2026 10:37:57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https://www.nsp.cz/jednotka-prace/elektrotechnik-pro-silnop#zdravotni-zpusobilost).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pro plnění kompetence "Realizace technického návrhu a projektu osvětlení" přístup ke katalogům světelných zdrojů, svítidel a ostatních komponent v papírové nebo elektronické podobě.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tři zadání pro projekt osvětlení, ze kterých si uchazeč vylosuje jedno zadání.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elektrotechnice.“ Pro projektování vyhrazených elektrických zařízení je potřeba splňovat požadavky na odbornou způsobilost v elektrotechnice, a to minimálně v rozsahu § 7 (vedoucí 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světelný technik / samostatná světelná technička, 20.10.2026 10:37:57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zkušební ústav, s. p.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světelný technik / samostatná světelná technička, 20.10.2026 10:37:57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