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9A7AF" Type="http://schemas.openxmlformats.org/officeDocument/2006/relationships/officeDocument" Target="/word/document.xml" /><Relationship Id="coreR1959A7AF" Type="http://schemas.openxmlformats.org/package/2006/relationships/metadata/core-properties" Target="/docProps/core.xml" /><Relationship Id="customR1959A7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pasířských prací pro výrobu lustrařských komponentů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lustrařských komponentů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části svítidla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Provedení povrchové úpravy lustrařských komponentů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BOZP a PO při výrobě lustrařských komponentů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Oprava poškozených lustrařských komponentů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výroby svítidel, je třeba přihlížet především k bezpečnému provádění všech pracovních úkonů, dodržování povinností pro bezpečnou (BOZP a PO) a zdraví neohrožující práci, dodržování technologické kázně.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a parametry výrobku (části litých komponentů svítidel, kovové díly, profily, plechy), ke kterým se budou vztahovat zadané úkoly, podle zaměření konkrétní výroby lustrařského komponentu a místa konání zkoušky a umožní uchazeči se s tímto seznámit v předstihu (minimálně 2 týdny) před zkouškou.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zadané úkoly v kritériích hodnocení a ústně vlastními slovy doplní detaily.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 Uchazeč prokáže znalosti o surovinách a používaných materiálech, vysvětlí princip jednotlivých technologických operací a funkci strojů a zařízení, které se používají ve výrobě. Je posuzováno hospodárné využití surovin a bezpečné provádění všech úkonů.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pasířství,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2.10.2026 2:05:18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