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0AD" Type="http://schemas.openxmlformats.org/officeDocument/2006/relationships/officeDocument" Target="/word/document.xml" /><Relationship Id="coreR7E20AD" Type="http://schemas.openxmlformats.org/package/2006/relationships/metadata/core-properties" Target="/docProps/core.xml" /><Relationship Id="customR7E20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pasířských prací pro výrobu lustrařských komponentů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lustrařských komponentů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části svítidla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Provedení povrchové úpravy lustrařských komponentů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BOZP a PO při výrobě lustrařských komponentů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Oprava poškozených lustrařských komponentů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 lustrařských komponentů,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výroby svítidel, je třeba přihlížet především k bezpečnému provádění všech pracovních úkonů, dodržování povinností pro bezpečnou (BOZP a PO) a zdraví neohrožující práci, dodržování technologické kázně.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a parametry výrobku (části litých komponentů svítidel, kovové díly, profily, plechy), ke kterým se budou vztahovat zadané úkoly, podle zaměření konkrétní výroby lustrařského komponentu a místa konání zkoušky a umožní uchazeči se s tímto seznámit v předstihu (minimálně 2 týdny) před zkouškou.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zadané úkoly v kritériích hodnocení a ústně vlastními slovy doplní detaily.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 Uchazeč prokáže znalosti o surovinách a používaných materiálech, vysvětlí princip jednotlivých technologických operací a funkci strojů a zařízení, které se používají ve výrobě. Je posuzováno hospodárné využití surovin a bezpečné provádění všech úkonů.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 lustrařských komponentů,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pasířství,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 lustrařských komponentů,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