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FB32A2" Type="http://schemas.openxmlformats.org/officeDocument/2006/relationships/officeDocument" Target="/word/document.xml" /><Relationship Id="coreR56FB32A2" Type="http://schemas.openxmlformats.org/package/2006/relationships/metadata/core-properties" Target="/docProps/core.xml" /><Relationship Id="customR56FB32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posuzování shody výrobků (kód: 66-054-R)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technických normách a právních předpisech, definujících posuzovaný výrobek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Tvorba analýzy rizik výrobku s cílem určení požadavků na ochranu zdraví, bezpečnosti a životního prostředí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Tvorba Prohlášení o shodě/vlastnostech odpovídající platnému právnímu předpisu dle příslušné výrobkové komodity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6</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Ověření správnosti a úplnosti obsahu návodu k používání, případně alternativních dokumentů, vymezených platným právním předpisem podle příslušné výrobkové komodity</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6</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Umístění označení CE na stanovené výrobky</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6</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Použití dostupných metod v procesech ověřování a posuzování shody/ stálosti vlastností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6</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Orientace v ustanoveních právních předpisů upravujících uchovávání technických dokumentů pro oblast posuzování a prohlašování shody v platném znění</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7"/>
        <w:framePr w:w="8788" w:h="340" w:hRule="exact" w:wrap="none" w:vAnchor="page" w:hAnchor="margin" w:x="28" w:y="9402"/>
        <w:rPr>
          <w:rStyle w:val="C8"/>
          <w:rtl w:val="0"/>
        </w:rPr>
      </w:pPr>
      <w:r>
        <w:rPr>
          <w:rStyle w:val="C8"/>
          <w:rtl w:val="0"/>
        </w:rPr>
        <w:t>Platnost standardu</w:t>
      </w:r>
    </w:p>
    <w:p>
      <w:pPr>
        <w:pStyle w:val="P20"/>
        <w:framePr w:w="2928" w:h="248" w:hRule="exact" w:wrap="none" w:vAnchor="page" w:hAnchor="margin" w:x="28" w:y="974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Manažer/manažerka posuzování shody výrobků, 20.8.2026 18:58:31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64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 vyhlášením zkoušky určí výrobkovou komoditu, na kterou bude zkouška zaměřena, na základě čehož dojde ke konkretizaci jednotlivých kompetencí, včetně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určení výrobkové komodity autorizovanou osobou je uchazeč zkoušky schopen vymezit právní předpisy vztahujících se k posuzování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prohlašování shody dané výrobkové komodity a tím pak určit konkrétní dokumenty jednotlivých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Týká se kompetencí: 1) Orientace v právních předpisech, normách a technické dokumentaci, 2) Tvorba „analýzy rizik“, 3) Tvorba „prohlášení o shodě / vlastnostech“ odpovídající platnému právnímu předpisu podle příslušné výrobkové komodity, 4) Ověření správnosti a úplnosti obsahu „návodu k používání“ případně alternativních dokumentů vymezených platným právním předpisem, podle příslušné výrobkové komodity, 5) Umístění označení CE na stanovené výrobky, 6) Použití dostupných metod ověřování shody v procesech posuzování shody.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Termíny uvedené v kritériích hodnocení v uvozovkách („“) jsou popisné a jejich konkrétní (legislativně určený) název vyplývá z legislativních předpisů podle příslušné výrobkové komodity.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k textu kritérií – Termíny „posuzování“ a/nebo „prohlašování shody“ se zároveň rozumí i „posuzování“ a/nebo „prohlašování stálosti vlastností výrobků“, pokud příslušný právní předpis, vztahující se ke konkrétní výrobkové komoditě, vyžaduje tyto typy posuzování a/nebo prohlašování.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kritérií hodnocení, která jsou složena z několika požadavků, je zapotřebí, aby uchazeč splnil veškeré požadavky tohoto kritéria.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během zkoušky předloží uchazeči obrázek stanoveného výrobku minimálně ve formátu A3, na jehož základě bude uchazeč schopen splnit kritérium hodnocení „Určení vhodného umístění označení CE podle typu stanoveného výrobku“ vztahující se ke kompetenci „Umístění označení CE na stanovené výrobky“.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Poznámka ke kritériu hodnocení „Práce s elektronickým systémem distribuce norem (přihlášení do systému, vyhledávání příslušných norem podle zadaných kritérií, určení typu takto vyhledaných norem a jejich platnosti“ vztahující se ke kompetenci „Orientace v právních předpisech, normách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technické dokumentaci “: „typem“ normy se rozumí norma harmonizovaná, určená nebo národní.</w:t>
      </w:r>
    </w:p>
    <w:p>
      <w:pPr>
        <w:pStyle w:val="P21"/>
        <w:framePr w:w="7654" w:h="331" w:hRule="exact" w:wrap="none" w:vAnchor="page" w:hAnchor="margin" w:x="28" w:y="15940"/>
        <w:rPr>
          <w:rStyle w:val="C16"/>
          <w:rtl w:val="0"/>
        </w:rPr>
      </w:pPr>
      <w:r>
        <w:rPr>
          <w:rStyle w:val="C16"/>
          <w:rtl w:val="0"/>
        </w:rPr>
        <w:t>Manažer/manažerka posuzování shody výrobků, 20.8.2026 18:58:31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ostatní služby, ustavená a licencovaná pro tuto činnost HK ČR a SP ČR.</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a zkušební ústav stavební, Praha - TZÚS Praha, s. p.</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Český institut pro akreditaci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SELEX PROmotion GROUP, a. s.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Okresní hopodářská komora Most</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s. r. o.</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posuzování shody výrobků, 20.8.2026 18:58:31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