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5548C1" Type="http://schemas.openxmlformats.org/officeDocument/2006/relationships/officeDocument" Target="/word/document.xml" /><Relationship Id="coreR35548C1" Type="http://schemas.openxmlformats.org/package/2006/relationships/metadata/core-properties" Target="/docProps/core.xml" /><Relationship Id="customR35548C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Manažer/manažerka posuzování shody výrobků (kód: 66-054-R)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technické dokumentaci, technických normách a právních předpisech, definujících posuzovaný výrobek</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Tvorba analýzy rizik výrobku s cílem určení požadavků na ochranu zdraví, bezpečnosti a životního prostředí</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6</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Tvorba Prohlášení o shodě/vlastnostech odpovídající platnému právnímu předpisu dle příslušné výrobkové komodity</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6</w:t>
      </w:r>
    </w:p>
    <w:p>
      <w:pPr>
        <w:pStyle w:val="P16"/>
        <w:framePr w:w="9826" w:h="607" w:hRule="exact" w:wrap="none" w:vAnchor="page" w:hAnchor="margin" w:x="45" w:y="7209"/>
        <w:rPr>
          <w:rStyle w:val="C3"/>
          <w:rtl w:val="0"/>
        </w:rPr>
      </w:pPr>
    </w:p>
    <w:p>
      <w:pPr>
        <w:pStyle w:val="P17"/>
        <w:framePr w:w="9774" w:h="480" w:hRule="exact" w:wrap="none" w:vAnchor="page" w:hAnchor="margin" w:x="71" w:y="7265"/>
        <w:rPr>
          <w:rStyle w:val="C13"/>
          <w:rtl w:val="0"/>
        </w:rPr>
      </w:pPr>
      <w:r>
        <w:rPr>
          <w:rStyle w:val="C13"/>
          <w:rtl w:val="0"/>
        </w:rPr>
        <w:t>Ověření správnosti a úplnosti obsahu návodu k používání, případně alternativních dokumentů, vymezených platným právním předpisem podle příslušné výrobkové komodity</w:t>
      </w:r>
    </w:p>
    <w:p>
      <w:pPr>
        <w:pStyle w:val="P18"/>
        <w:framePr w:w="805" w:h="607" w:hRule="exact" w:wrap="none" w:vAnchor="page" w:hAnchor="margin" w:x="9916" w:y="7209"/>
        <w:rPr>
          <w:rStyle w:val="C3"/>
          <w:rtl w:val="0"/>
        </w:rPr>
      </w:pPr>
    </w:p>
    <w:p>
      <w:pPr>
        <w:pStyle w:val="P19"/>
        <w:framePr w:w="723" w:h="480" w:hRule="exact" w:wrap="none" w:vAnchor="page" w:hAnchor="margin" w:x="9972" w:y="7265"/>
        <w:rPr>
          <w:rStyle w:val="C14"/>
          <w:rtl w:val="0"/>
        </w:rPr>
      </w:pPr>
      <w:r>
        <w:rPr>
          <w:rStyle w:val="C14"/>
          <w:rtl w:val="0"/>
        </w:rPr>
        <w:t>6</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Umístění označení CE na stanovené výrobky</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6</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Použití dostupných metod v procesech ověřování a posuzování shody/ stálosti vlastností</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6</w:t>
      </w:r>
    </w:p>
    <w:p>
      <w:pPr>
        <w:pStyle w:val="P12"/>
        <w:framePr w:w="9826" w:h="607" w:hRule="exact" w:wrap="none" w:vAnchor="page" w:hAnchor="margin" w:x="45" w:y="8569"/>
        <w:rPr>
          <w:rStyle w:val="C3"/>
          <w:rtl w:val="0"/>
        </w:rPr>
      </w:pPr>
    </w:p>
    <w:p>
      <w:pPr>
        <w:pStyle w:val="P13"/>
        <w:framePr w:w="9774" w:h="480" w:hRule="exact" w:wrap="none" w:vAnchor="page" w:hAnchor="margin" w:x="71" w:y="8625"/>
        <w:rPr>
          <w:rStyle w:val="C11"/>
          <w:rtl w:val="0"/>
        </w:rPr>
      </w:pPr>
      <w:r>
        <w:rPr>
          <w:rStyle w:val="C11"/>
          <w:rtl w:val="0"/>
        </w:rPr>
        <w:t>Orientace v ustanoveních právních předpisů upravujících uchovávání technických dokumentů pro oblast posuzování a prohlašování shody v platném znění</w:t>
      </w:r>
    </w:p>
    <w:p>
      <w:pPr>
        <w:pStyle w:val="P14"/>
        <w:framePr w:w="805" w:h="607" w:hRule="exact" w:wrap="none" w:vAnchor="page" w:hAnchor="margin" w:x="9916" w:y="8569"/>
        <w:rPr>
          <w:rStyle w:val="C3"/>
          <w:rtl w:val="0"/>
        </w:rPr>
      </w:pPr>
    </w:p>
    <w:p>
      <w:pPr>
        <w:pStyle w:val="P15"/>
        <w:framePr w:w="723" w:h="480" w:hRule="exact" w:wrap="none" w:vAnchor="page" w:hAnchor="margin" w:x="9972" w:y="8625"/>
        <w:rPr>
          <w:rStyle w:val="C12"/>
          <w:rtl w:val="0"/>
        </w:rPr>
      </w:pPr>
      <w:r>
        <w:rPr>
          <w:rStyle w:val="C12"/>
          <w:rtl w:val="0"/>
        </w:rPr>
        <w:t>4</w:t>
      </w:r>
    </w:p>
    <w:p>
      <w:pPr>
        <w:pStyle w:val="P7"/>
        <w:framePr w:w="8788" w:h="340" w:hRule="exact" w:wrap="none" w:vAnchor="page" w:hAnchor="margin" w:x="28" w:y="9402"/>
        <w:rPr>
          <w:rStyle w:val="C8"/>
          <w:rtl w:val="0"/>
        </w:rPr>
      </w:pPr>
      <w:r>
        <w:rPr>
          <w:rStyle w:val="C8"/>
          <w:rtl w:val="0"/>
        </w:rPr>
        <w:t>Platnost standardu</w:t>
      </w:r>
    </w:p>
    <w:p>
      <w:pPr>
        <w:pStyle w:val="P20"/>
        <w:framePr w:w="2928" w:h="248" w:hRule="exact" w:wrap="none" w:vAnchor="page" w:hAnchor="margin" w:x="28" w:y="974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Manažer/manažerka posuzování shody výrobků, 22.10.2026 8:29:37</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9641"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 vyhlášením zkoušky určí výrobkovou komoditu, na kterou bude zkouška zaměřena, na základě čehož dojde ke konkretizaci jednotlivých kompetencí, včetně kritérií hodnocení.</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základě určení výrobkové komodity autorizovanou osobou je uchazeč zkoušky schopen vymezit právní předpisy vztahujících se k posuzování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prohlašování shody dané výrobkové komodity a tím pak určit konkrétní dokumenty jednotlivých kritérií hodnocení.</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Týká se kompetencí: 1) Orientace v právních předpisech, normách a technické dokumentaci, 2) Tvorba „analýzy rizik“, 3) Tvorba „prohlášení o shodě / vlastnostech“ odpovídající platnému právnímu předpisu podle příslušné výrobkové komodity, 4) Ověření správnosti a úplnosti obsahu „návodu k používání“ případně alternativních dokumentů vymezených platným právním předpisem, podle příslušné výrobkové komodity, 5) Umístění označení CE na stanovené výrobky, 6) Použití dostupných metod ověřování shody v procesech posuzování shody.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Termíny uvedené v kritériích hodnocení v uvozovkách („“) jsou popisné a jejich konkrétní (legislativně určený) název vyplývá z legislativních předpisů podle příslušné výrobkové komodity.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Poznámka k textu kritérií – Termíny „posuzování“ a/nebo „prohlašování shody“ se zároveň rozumí i „posuzování“ a/nebo „prohlašování stálosti vlastností výrobků“, pokud příslušný právní předpis, vztahující se ke konkrétní výrobkové komoditě, vyžaduje tyto typy posuzování a/nebo prohlašování.</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splnění kritérií hodnocení, která jsou složena z několika požadavků, je zapotřebí, aby uchazeč splnil veškeré požadavky tohoto kritéria.</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během zkoušky předloží uchazeči obrázek stanoveného výrobku minimálně ve formátu A3, na jehož základě bude uchazeč schopen splnit kritérium hodnocení „Určení vhodného umístění označení CE podle typu stanoveného výrobku“ vztahující se ke kompetenci „Umístění označení CE na stanovené výrobky“.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Poznámka ke kritériu hodnocení „Práce s elektronickým systémem distribuce norem (přihlášení do systému, vyhledávání příslušných norem podle zadaných kritérií, určení typu takto vyhledaných norem a jejich platnosti“ vztahující se ke kompetenci „Orientace v právních předpisech, normách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technické dokumentaci “: „typem“ normy se rozumí norma harmonizovaná, určená nebo národní.</w:t>
      </w:r>
    </w:p>
    <w:p>
      <w:pPr>
        <w:pStyle w:val="P21"/>
        <w:framePr w:w="7654" w:h="331" w:hRule="exact" w:wrap="none" w:vAnchor="page" w:hAnchor="margin" w:x="28" w:y="15940"/>
        <w:rPr>
          <w:rStyle w:val="C16"/>
          <w:rtl w:val="0"/>
        </w:rPr>
      </w:pPr>
      <w:r>
        <w:rPr>
          <w:rStyle w:val="C16"/>
          <w:rtl w:val="0"/>
        </w:rPr>
        <w:t>Manažer/manažerka posuzování shody výrobků, 22.10.2026 8:29:37</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ostatní služby, ustavená a licencovaná pro tuto činnost HK ČR a SP ČR.</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Technický a zkušební ústav stavební, Praha - TZÚS Praha, s. p.</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Český institut pro akreditaci </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SELEX PROmotion GROUP, a. s. </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Okresní hopodářská komora Most</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KOMORA s. r. o.</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Manažer/manažerka posuzování shody výrobků, 22.10.2026 8:29:37</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