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869067" Type="http://schemas.openxmlformats.org/officeDocument/2006/relationships/officeDocument" Target="/word/document.xml" /><Relationship Id="coreR59869067" Type="http://schemas.openxmlformats.org/package/2006/relationships/metadata/core-properties" Target="/docProps/core.xml" /><Relationship Id="customR598690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posuzování shody výrobků (kód: 66-054-R)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technických normách a právních předpisech, definujících posuzovaný výrobek</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Tvorba analýzy rizik výrobku s cílem určení požadavků na ochranu zdraví, bezpečnosti a životního prostředí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Tvorba Prohlášení o shodě/vlastnostech odpovídající platnému právnímu předpisu dle příslušné výrobkové komodity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6</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Ověření správnosti a úplnosti obsahu návodu k používání, případně alternativních dokumentů, vymezených platným právním předpisem podle příslušné výrobkové komodity</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6</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Umístění označení CE na stanovené výrobky</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6</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Použití dostupných metod v procesech ověřování a posuzování shody/ stálosti vlastností</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6</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Orientace v ustanoveních právních předpisů upravujících uchovávání technických dokumentů pro oblast posuzování a prohlašování shody v platném znění</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4</w:t>
      </w:r>
    </w:p>
    <w:p>
      <w:pPr>
        <w:pStyle w:val="P7"/>
        <w:framePr w:w="8788" w:h="340" w:hRule="exact" w:wrap="none" w:vAnchor="page" w:hAnchor="margin" w:x="28" w:y="9402"/>
        <w:rPr>
          <w:rStyle w:val="C8"/>
          <w:rtl w:val="0"/>
        </w:rPr>
      </w:pPr>
      <w:r>
        <w:rPr>
          <w:rStyle w:val="C8"/>
          <w:rtl w:val="0"/>
        </w:rPr>
        <w:t>Platnost standardu</w:t>
      </w:r>
    </w:p>
    <w:p>
      <w:pPr>
        <w:pStyle w:val="P20"/>
        <w:framePr w:w="2928" w:h="248" w:hRule="exact" w:wrap="none" w:vAnchor="page" w:hAnchor="margin" w:x="28" w:y="974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Manažer/manažerka posuzování shody výrobků, 31.7.2026 15:16:42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64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 vyhlášením zkoušky určí výrobkovou komoditu, na kterou bude zkouška zaměřena, na základě čehož dojde ke konkretizaci jednotlivých kompetencí, včetně kritérií hodnocení.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základě určení výrobkové komodity autorizovanou osobou je uchazeč zkoušky schopen vymezit právní předpisy vztahujících se k posuzování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prohlašování shody dané výrobkové komodity a tím pak určit konkrétní dokumenty jednotlivých kritérií hodnocení.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Týká se kompetencí: 1) Orientace v právních předpisech, normách a technické dokumentaci, 2) Tvorba „analýzy rizik“, 3) Tvorba „prohlášení o shodě / vlastnostech“ odpovídající platnému právnímu předpisu podle příslušné výrobkové komodity, 4) Ověření správnosti a úplnosti obsahu „návodu k používání“ případně alternativních dokumentů vymezených platným právním předpisem, podle příslušné výrobkové komodity, 5) Umístění označení CE na stanovené výrobky, 6) Použití dostupných metod ověřování shody v procesech posuzování shody.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Termíny uvedené v kritériích hodnocení v uvozovkách („“) jsou popisné a jejich konkrétní (legislativně určený) název vyplývá z legislativních předpisů podle příslušné výrobkové komodity.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Poznámka k textu kritérií – Termíny „posuzování“ a/nebo „prohlašování shody“ se zároveň rozumí i „posuzování“ a/nebo „prohlašování stálosti vlastností výrobků“, pokud příslušný právní předpis, vztahující se ke konkrétní výrobkové komoditě, vyžaduje tyto typy posuzování a/nebo prohlašování.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kritérií hodnocení, která jsou složena z několika požadavků, je zapotřebí, aby uchazeč splnil veškeré požadavky tohoto kritéria.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během zkoušky předloží uchazeči obrázek stanoveného výrobku minimálně ve formátu A3, na jehož základě bude uchazeč schopen splnit kritérium hodnocení „Určení vhodného umístění označení CE podle typu stanoveného výrobku“ vztahující se ke kompetenci „Umístění označení CE na stanovené výrobky“.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Poznámka ke kritériu hodnocení „Práce s elektronickým systémem distribuce norem (přihlášení do systému, vyhledávání příslušných norem podle zadaných kritérií, určení typu takto vyhledaných norem a jejich platnosti“ vztahující se ke kompetenci „Orientace v právních předpisech, normách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technické dokumentaci “: „typem“ normy se rozumí norma harmonizovaná, určená nebo národní.</w:t>
      </w:r>
    </w:p>
    <w:p>
      <w:pPr>
        <w:pStyle w:val="P21"/>
        <w:framePr w:w="7654" w:h="331" w:hRule="exact" w:wrap="none" w:vAnchor="page" w:hAnchor="margin" w:x="28" w:y="15940"/>
        <w:rPr>
          <w:rStyle w:val="C16"/>
          <w:rtl w:val="0"/>
        </w:rPr>
      </w:pPr>
      <w:r>
        <w:rPr>
          <w:rStyle w:val="C16"/>
          <w:rtl w:val="0"/>
        </w:rPr>
        <w:t>Manažer/manažerka posuzování shody výrobků, 31.7.2026 15:16:42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ostatní služby, ustavená a licencovaná pro tuto činnost HK ČR a SP ČR.</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a zkušební ústav stavební, Praha - TZÚS Praha, s. p.</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Český institut pro akreditaci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SELEX PROmotion GROUP, a. s.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Okresní hopodářská komora Most</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s. r. o.</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posuzování shody výrobků, 31.7.2026 15:16:42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