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2701AE" Type="http://schemas.openxmlformats.org/officeDocument/2006/relationships/officeDocument" Target="/word/document.xml" /><Relationship Id="coreR252701AE" Type="http://schemas.openxmlformats.org/package/2006/relationships/metadata/core-properties" Target="/docProps/core.xml" /><Relationship Id="customR252701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posuzování shody výrobků (kód: 66-055-M)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Výběr a posouzení správnosti technické dokumentace a záznamů pro procesy posuzování shody/ stálosti vlastností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analýzy rizik výrobku s cílem určení požadavků na ochranu zdraví, bezpečnosti a životního prostředí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6</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Tvorba návodu k používání dle příslušné výrobkové komodity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Tvorba návrhu štítku 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posuzování shody výrobků, 30.9.2026 1:44:16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a právních předpisech, definujících posuzovaný výrobek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relevantní právní předpisy k určené výrobkové komoditě</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obecně účel norem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jednotlivé druhy norem v předmětné výrobkové komoditě</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Vyhledat příslušné normy pro konkrétní výrobek odpovídající určené výrobkové komoditě</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Pracovat s elektronickým systémem distribuce norem (přihlášení do systému, vyhledávání příslušných norem podle zadaných kritérií, určení typu takto vyhledaných norem a jejich platnosti)</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Číst v předložené technické dokumentaci vztahující se k určené výrobkové komoditě (výkresová i textová část)</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7"/>
        <w:rPr>
          <w:rStyle w:val="C18"/>
          <w:rtl w:val="0"/>
        </w:rPr>
      </w:pPr>
      <w:r>
        <w:rPr>
          <w:rStyle w:val="C18"/>
          <w:rtl w:val="0"/>
        </w:rPr>
        <w:t>Výběr a posouzení správnosti technické dokumentace a záznamů pro procesy posuzování shody/ stálosti vlastností</w:t>
      </w:r>
    </w:p>
    <w:p>
      <w:pPr>
        <w:pStyle w:val="P24"/>
        <w:framePr w:w="6713" w:h="376" w:hRule="exact" w:wrap="none" w:vAnchor="page" w:hAnchor="margin" w:x="45" w:y="8104"/>
        <w:rPr>
          <w:rStyle w:val="C3"/>
          <w:rtl w:val="0"/>
        </w:rPr>
      </w:pPr>
    </w:p>
    <w:p>
      <w:pPr>
        <w:pStyle w:val="P25"/>
        <w:framePr w:w="6661" w:h="249" w:hRule="exact" w:wrap="none" w:vAnchor="page" w:hAnchor="margin" w:x="71" w:y="8175"/>
        <w:rPr>
          <w:rStyle w:val="C19"/>
          <w:rtl w:val="0"/>
        </w:rPr>
      </w:pPr>
      <w:r>
        <w:rPr>
          <w:rStyle w:val="C19"/>
          <w:rtl w:val="0"/>
        </w:rPr>
        <w:t>Kritéria hodnocení</w:t>
      </w:r>
    </w:p>
    <w:p>
      <w:pPr>
        <w:pStyle w:val="P26"/>
        <w:framePr w:w="3918" w:h="376" w:hRule="exact" w:wrap="none" w:vAnchor="page" w:hAnchor="margin" w:x="6803" w:y="8104"/>
        <w:rPr>
          <w:rStyle w:val="C3"/>
          <w:rtl w:val="0"/>
        </w:rPr>
      </w:pPr>
    </w:p>
    <w:p>
      <w:pPr>
        <w:pStyle w:val="P27"/>
        <w:framePr w:w="3836" w:h="249" w:hRule="exact" w:wrap="none" w:vAnchor="page" w:hAnchor="margin" w:x="6859" w:y="8175"/>
        <w:rPr>
          <w:rStyle w:val="C20"/>
          <w:rtl w:val="0"/>
        </w:rPr>
      </w:pPr>
      <w:r>
        <w:rPr>
          <w:rStyle w:val="C20"/>
          <w:rtl w:val="0"/>
        </w:rPr>
        <w:t>Způsoby ověření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a) Uvést postupy nezbytné k řízení technické dokumentace a popsat záznamy z procesů posuzování shody / stálosti vlastností</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Ústní ověření</w:t>
      </w:r>
    </w:p>
    <w:p>
      <w:pPr>
        <w:pStyle w:val="P16"/>
        <w:framePr w:w="6710" w:h="831" w:hRule="exact" w:wrap="none" w:vAnchor="page" w:hAnchor="margin" w:x="45" w:y="9087"/>
        <w:rPr>
          <w:rStyle w:val="C3"/>
          <w:rtl w:val="0"/>
        </w:rPr>
      </w:pPr>
    </w:p>
    <w:p>
      <w:pPr>
        <w:pStyle w:val="P17"/>
        <w:framePr w:w="6658" w:h="704" w:hRule="exact" w:wrap="none" w:vAnchor="page" w:hAnchor="margin" w:x="71" w:y="9143"/>
        <w:rPr>
          <w:rStyle w:val="C13"/>
          <w:rtl w:val="0"/>
        </w:rPr>
      </w:pPr>
      <w:r>
        <w:rPr>
          <w:rStyle w:val="C13"/>
          <w:rtl w:val="0"/>
        </w:rPr>
        <w:t>b) Roztřídit a označit předložené dokumenty a záznamy z procesu posuzování shody / stálosti vlastností relevantní pro příslušnou výrobkovou komoditu</w:t>
      </w:r>
    </w:p>
    <w:p>
      <w:pPr>
        <w:pStyle w:val="P30"/>
        <w:framePr w:w="3921" w:h="831" w:hRule="exact" w:wrap="none" w:vAnchor="page" w:hAnchor="margin" w:x="6800" w:y="9087"/>
        <w:rPr>
          <w:rStyle w:val="C3"/>
          <w:rtl w:val="0"/>
        </w:rPr>
      </w:pPr>
    </w:p>
    <w:p>
      <w:pPr>
        <w:pStyle w:val="P31"/>
        <w:framePr w:w="3839" w:h="704" w:hRule="exact" w:wrap="none" w:vAnchor="page" w:hAnchor="margin" w:x="6856" w:y="9143"/>
        <w:rPr>
          <w:rStyle w:val="C22"/>
          <w:rtl w:val="0"/>
        </w:rPr>
      </w:pPr>
      <w:r>
        <w:rPr>
          <w:rStyle w:val="C22"/>
          <w:rtl w:val="0"/>
        </w:rPr>
        <w:t>Praktické předvedení</w:t>
      </w:r>
    </w:p>
    <w:p>
      <w:pPr>
        <w:pStyle w:val="P12"/>
        <w:framePr w:w="6710" w:h="831" w:hRule="exact" w:wrap="none" w:vAnchor="page" w:hAnchor="margin" w:x="45" w:y="9918"/>
        <w:rPr>
          <w:rStyle w:val="C3"/>
          <w:rtl w:val="0"/>
        </w:rPr>
      </w:pPr>
    </w:p>
    <w:p>
      <w:pPr>
        <w:pStyle w:val="P13"/>
        <w:framePr w:w="6658" w:h="704" w:hRule="exact" w:wrap="none" w:vAnchor="page" w:hAnchor="margin" w:x="71" w:y="9974"/>
        <w:rPr>
          <w:rStyle w:val="C11"/>
          <w:rtl w:val="0"/>
        </w:rPr>
      </w:pPr>
      <w:r>
        <w:rPr>
          <w:rStyle w:val="C11"/>
          <w:rtl w:val="0"/>
        </w:rPr>
        <w:t>c) Posoudit věcnou a formální správnost předložených záznamů z procesu posuzování shody / stálosti vlastností relevantní pro příslušnou výrobkovou komoditu</w:t>
      </w:r>
    </w:p>
    <w:p>
      <w:pPr>
        <w:pStyle w:val="P28"/>
        <w:framePr w:w="3921" w:h="831" w:hRule="exact" w:wrap="none" w:vAnchor="page" w:hAnchor="margin" w:x="6800" w:y="9918"/>
        <w:rPr>
          <w:rStyle w:val="C3"/>
          <w:rtl w:val="0"/>
        </w:rPr>
      </w:pPr>
    </w:p>
    <w:p>
      <w:pPr>
        <w:pStyle w:val="P29"/>
        <w:framePr w:w="3839" w:h="704" w:hRule="exact" w:wrap="none" w:vAnchor="page" w:hAnchor="margin" w:x="6856" w:y="9974"/>
        <w:rPr>
          <w:rStyle w:val="C21"/>
          <w:rtl w:val="0"/>
        </w:rPr>
      </w:pPr>
      <w:r>
        <w:rPr>
          <w:rStyle w:val="C21"/>
          <w:rtl w:val="0"/>
        </w:rPr>
        <w:t>Praktické předvedení</w:t>
      </w:r>
    </w:p>
    <w:p>
      <w:pPr>
        <w:pStyle w:val="P32"/>
        <w:framePr w:w="10710" w:h="248" w:hRule="exact" w:wrap="none" w:vAnchor="page" w:hAnchor="margin" w:x="28" w:y="10862"/>
        <w:rPr>
          <w:rStyle w:val="C23"/>
          <w:rtl w:val="0"/>
        </w:rPr>
      </w:pPr>
      <w:r>
        <w:rPr>
          <w:rStyle w:val="C23"/>
          <w:rtl w:val="0"/>
        </w:rPr>
        <w:t>Je třeba splnit všechna kritéria.</w:t>
      </w:r>
    </w:p>
    <w:p>
      <w:pPr>
        <w:pStyle w:val="P23"/>
        <w:framePr w:w="10710" w:h="547" w:hRule="exact" w:wrap="none" w:vAnchor="page" w:hAnchor="margin" w:x="28" w:y="11298"/>
        <w:rPr>
          <w:rStyle w:val="C18"/>
          <w:rtl w:val="0"/>
        </w:rPr>
      </w:pPr>
      <w:r>
        <w:rPr>
          <w:rStyle w:val="C18"/>
          <w:rtl w:val="0"/>
        </w:rPr>
        <w:t>Tvorba analýzy rizik výrobku s cílem určení požadavků na ochranu zdraví, bezpečnosti a životního prostředí</w:t>
      </w:r>
    </w:p>
    <w:p>
      <w:pPr>
        <w:pStyle w:val="P24"/>
        <w:framePr w:w="6713" w:h="376" w:hRule="exact" w:wrap="none" w:vAnchor="page" w:hAnchor="margin" w:x="45" w:y="11945"/>
        <w:rPr>
          <w:rStyle w:val="C3"/>
          <w:rtl w:val="0"/>
        </w:rPr>
      </w:pPr>
    </w:p>
    <w:p>
      <w:pPr>
        <w:pStyle w:val="P25"/>
        <w:framePr w:w="6661" w:h="249" w:hRule="exact" w:wrap="none" w:vAnchor="page" w:hAnchor="margin" w:x="71" w:y="12016"/>
        <w:rPr>
          <w:rStyle w:val="C19"/>
          <w:rtl w:val="0"/>
        </w:rPr>
      </w:pPr>
      <w:r>
        <w:rPr>
          <w:rStyle w:val="C19"/>
          <w:rtl w:val="0"/>
        </w:rPr>
        <w:t>Kritéria hodnocení</w:t>
      </w:r>
    </w:p>
    <w:p>
      <w:pPr>
        <w:pStyle w:val="P26"/>
        <w:framePr w:w="3918" w:h="376" w:hRule="exact" w:wrap="none" w:vAnchor="page" w:hAnchor="margin" w:x="6803" w:y="11945"/>
        <w:rPr>
          <w:rStyle w:val="C3"/>
          <w:rtl w:val="0"/>
        </w:rPr>
      </w:pPr>
    </w:p>
    <w:p>
      <w:pPr>
        <w:pStyle w:val="P27"/>
        <w:framePr w:w="3836" w:h="249" w:hRule="exact" w:wrap="none" w:vAnchor="page" w:hAnchor="margin" w:x="6859" w:y="12016"/>
        <w:rPr>
          <w:rStyle w:val="C20"/>
          <w:rtl w:val="0"/>
        </w:rPr>
      </w:pPr>
      <w:r>
        <w:rPr>
          <w:rStyle w:val="C20"/>
          <w:rtl w:val="0"/>
        </w:rPr>
        <w:t>Způsoby ověření</w:t>
      </w:r>
    </w:p>
    <w:p>
      <w:pPr>
        <w:pStyle w:val="P12"/>
        <w:framePr w:w="6710" w:h="376" w:hRule="exact" w:wrap="none" w:vAnchor="page" w:hAnchor="margin" w:x="45" w:y="12321"/>
        <w:rPr>
          <w:rStyle w:val="C3"/>
          <w:rtl w:val="0"/>
        </w:rPr>
      </w:pPr>
    </w:p>
    <w:p>
      <w:pPr>
        <w:pStyle w:val="P13"/>
        <w:framePr w:w="6658" w:h="249" w:hRule="exact" w:wrap="none" w:vAnchor="page" w:hAnchor="margin" w:x="71" w:y="12377"/>
        <w:rPr>
          <w:rStyle w:val="C11"/>
          <w:rtl w:val="0"/>
        </w:rPr>
      </w:pPr>
      <w:r>
        <w:rPr>
          <w:rStyle w:val="C11"/>
          <w:rtl w:val="0"/>
        </w:rPr>
        <w:t>a) Vyjmenovat základní části dokumentu „analýza rizik“</w:t>
      </w:r>
    </w:p>
    <w:p>
      <w:pPr>
        <w:pStyle w:val="P28"/>
        <w:framePr w:w="3921" w:h="376" w:hRule="exact" w:wrap="none" w:vAnchor="page" w:hAnchor="margin" w:x="6800" w:y="12321"/>
        <w:rPr>
          <w:rStyle w:val="C3"/>
          <w:rtl w:val="0"/>
        </w:rPr>
      </w:pPr>
    </w:p>
    <w:p>
      <w:pPr>
        <w:pStyle w:val="P29"/>
        <w:framePr w:w="3839" w:h="249" w:hRule="exact" w:wrap="none" w:vAnchor="page" w:hAnchor="margin" w:x="6856" w:y="12377"/>
        <w:rPr>
          <w:rStyle w:val="C21"/>
          <w:rtl w:val="0"/>
        </w:rPr>
      </w:pPr>
      <w:r>
        <w:rPr>
          <w:rStyle w:val="C21"/>
          <w:rtl w:val="0"/>
        </w:rPr>
        <w:t>Písemné ověření</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b) Vypracovat koncept „analýzy rizik“ k zadanému typu výrobku</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c) Vysvětlit pojem „zbytková rizika“ a uvést způsoby jejich vhodné prezentace</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Písemné ověření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posuzování shody výrobků, 30.9.2026 1:44:16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návodu k používání dle příslušné výrobkové komodity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příslušné „návody k používání“, případně alternativní dokumenty vymezené platným právním předpisem podle příslušné výrobkové komodity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a popsat jednotlivé části "návodu k používání"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 xml:space="preserve">c) Zvolit příslušný druh "návodu k používání" podle zadaného typu výrobku </w:t>
        <w:br w:type="textWrapping"/>
        <w:t>a účelu jeho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Tvorba návrhu štítku 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Orientovat se v předpisech upravujících označení CE (uvést relevantní právní předpisy, grafickou podobu a závazné parametry označení 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Vytvořit návrh štítku CE zadaného výrobku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2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posuzování shody výrobků, 30.9.2026 1:44:16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 vyhlášením zkoušky určí výrobkovou komoditu, na kterou bude zkouška zaměřena, na základě čehož dojde ke konkretizaci zadání u zkoušky podle jednotlivých kompetencí, včetně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u zkoušky schopen vymezit právní předpisy vztahujících se k posuzování shody dané výrobkové komodity, a tím pak určit konkrétní dokumenty jednotlivých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Týká se veškerých kompetencí tohoto standardu.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 jsou popisné a jejich konkrétní (právně určený) název vyplývá z právních předpisů podle příslušné výrobkové komodity.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Termínem „posuzování shody“ se zároveň rozumí i „posuzování stálosti vlastností" výrobků, pokud příslušný právní předpis, vztahující se ke konkrétní výrobkové komoditě, vyžaduje tento typ posuzování.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 v platném znění.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uchazečů v rámci jedné zkoušky dané profesní kvalifikace nesmí přesáhnout počet 8 uchazečů pro jednu výrobkovou komoditu.</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posuzování shody výrobků, 30.9.2026 1:44:16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s technickým zaměřením a alespoň 5 let praxe v oblasti posuzování shody.</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3772" w:hRule="exact" w:wrap="none" w:vAnchor="page" w:hAnchor="margin" w:x="0" w:y="8650"/>
        <w:rPr>
          <w:rStyle w:val="C3"/>
          <w:rtl w:val="0"/>
        </w:rPr>
      </w:pPr>
    </w:p>
    <w:p>
      <w:pPr>
        <w:pStyle w:val="P35"/>
        <w:framePr w:w="10710" w:h="340" w:hRule="exact" w:wrap="none" w:vAnchor="page" w:hAnchor="margin" w:x="28" w:y="8650"/>
        <w:rPr>
          <w:rStyle w:val="C25"/>
          <w:rtl w:val="0"/>
        </w:rPr>
      </w:pPr>
      <w:r>
        <w:rPr>
          <w:rStyle w:val="C25"/>
          <w:rtl w:val="0"/>
        </w:rPr>
        <w:t>Nezbytné materiální a technické předpoklady pro provedení zkoušky</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a normativní předpisy vztahující se k oblasti posuzování shody / stálosti vlastností v elektronické podobě</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systému databáze norem ÚNMZ</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vztahující se k výrobkové komoditě zkoušky</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účastníka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posuzování shody výrobků, 30.9.2026 1:44:16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posuzování shody výrobků, 30.9.2026 1:44:16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F17A5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90085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