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245A79" Type="http://schemas.openxmlformats.org/officeDocument/2006/relationships/officeDocument" Target="/word/document.xml" /><Relationship Id="coreRA245A79" Type="http://schemas.openxmlformats.org/package/2006/relationships/metadata/core-properties" Target="/docProps/core.xml" /><Relationship Id="customRA245A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posuzování shody výrobků (kód: 66-055-M)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technických normách a právních předpisech, definujících posuzovaný výrobek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Výběr a posouzení správnosti technické dokumentace a záznamů pro procesy posuzování shody/ stálosti vlastností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Tvorba analýzy rizik výrobku s cílem určení požadavků na ochranu zdraví, bezpečnosti a životního prostředí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Tvorba návodu k používání dle příslušné výrobkové komodity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Tvorba návrhu štítku 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posuzování shody výrobků, 20.4.2026 4:22:25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 vyhlášením zkoušky určí výrobkovou komoditu, na kterou bude zkouška zaměřena, na základě čehož dojde ke konkretizaci zadání u zkoušky podle jednotlivých kompetencí, včetně kritérií hodnocení.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základě určení výrobkové komodity autorizovanou osobou je uchazeč u zkoušky schopen vymezit právní předpisy vztahujících se k posuzování shody dané výrobkové komodity, a tím pak určit konkrétní dokumenty jednotlivých kritérií hodnocení.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Týká se veškerých kompetencí tohoto standardu.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Termíny uvedené v kritériích hodnocení v uvozovkách („ “) jsou popisné a jejich konkrétní (právně určený) název vyplývá z právních předpisů podle příslušné výrobkové komodity.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Poznámka k textu kritérií – Termínem „posuzování shody“ se zároveň rozumí i „posuzování stálosti vlastností" výrobků, pokud příslušný právní předpis, vztahující se ke konkrétní výrobkové komoditě, vyžaduje tento typ posuzování.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kritérií hodnocení, která jsou složena z několika požadavků, je zapotřebí, aby uchazeč splnil veškeré požadavky tohoto kritéria.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Poznámka ke kritériu hodnocení „Práce s elektronickým systémem distribuce norem (přihlášení do systému, vyhledávání příslušných norem podle zadaných kritérií, určení typu takto vyhledaných norem a jejich platnosti“ vztahující se ke kompetenci „Orientace v právních předpisech, normách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technické dokumentaci “: „typem“ normy se rozumí norma harmonizovaná, určená nebo národní v platném znění.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Maximální počet uchazečů v rámci jedné zkoušky dané profesní kvalifikace nesmí přesáhnout počet 8 uchazečů pro jednu výrobkovou komoditu.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posuzování shody výrobků, 20.4.2026 4:22:25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Technický a zkušební ústav stavební, Praha - TZÚS Praha,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institut pro akreditaci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SELEX PROmotion GROUP, a. s.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posuzování shody výrobků, 20.4.2026 4:22:25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