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E91840" Type="http://schemas.openxmlformats.org/officeDocument/2006/relationships/officeDocument" Target="/word/document.xml" /><Relationship Id="coreR34E91840" Type="http://schemas.openxmlformats.org/package/2006/relationships/metadata/core-properties" Target="/docProps/core.xml" /><Relationship Id="customR34E9184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údržby a technického dozoru (kód: 36-175-H)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údržby a technického dozoru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Nanášení omítek a finální povrchové úpravy stavebních ploch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Nanášení malířských nátěrů štětkou, štětcem a válečkem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a opravy nátěrů na kov, dřevo a jiné podklady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a koordinace outsourcovaných servisních zásahů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evidence revizí, servisních zásahů a oprav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údržby a technického dozoru, 30.9.2026 1:44:11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Nanášení omítek a finální povrchové úpravy stavebních ploch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postup oprav zdí a omítek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používané stroje a nástroje pro zednické práce a povrchové úpravy stavebních ploch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používaný materiál pro provádění zednických, omítacích a štukatérských prací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Provést vnitřní omítku, připravit povrch před nanášením malířských nátěrů</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Nanášení malířských nátěrů štětkou, štětcem a válečkem</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Popsat způsoby nanášení nátěrových hmot</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Popsat pracovní postupy, nářadí a zařízení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c) Popsat druhy používaných nátěrových hmot s ohledem na natírané prostředí a jejich přípravu pro nanášení štětcem a válečkem a stříkáním</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d) Popsat způsoby kontroly nátěrů a kontrolované parametry</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e) Nanášet nátěrovou hmotu podle zadání</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 a ústní ověření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f) Připravit nátěrovou hmotu k použití</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Praktické předvedení a ústní ověření</w:t>
      </w:r>
    </w:p>
    <w:p>
      <w:pPr>
        <w:pStyle w:val="P12"/>
        <w:framePr w:w="6710" w:h="376" w:hRule="exact" w:wrap="none" w:vAnchor="page" w:hAnchor="margin" w:x="45" w:y="9346"/>
        <w:rPr>
          <w:rStyle w:val="C3"/>
          <w:rtl w:val="0"/>
        </w:rPr>
      </w:pPr>
    </w:p>
    <w:p>
      <w:pPr>
        <w:pStyle w:val="P13"/>
        <w:framePr w:w="6658" w:h="249" w:hRule="exact" w:wrap="none" w:vAnchor="page" w:hAnchor="margin" w:x="71" w:y="9402"/>
        <w:rPr>
          <w:rStyle w:val="C11"/>
          <w:rtl w:val="0"/>
        </w:rPr>
      </w:pPr>
      <w:r>
        <w:rPr>
          <w:rStyle w:val="C11"/>
          <w:rtl w:val="0"/>
        </w:rPr>
        <w:t>g) Zkontrolovat kvalitu povrchu po aplikaci nátěrové hmoty</w:t>
      </w:r>
    </w:p>
    <w:p>
      <w:pPr>
        <w:pStyle w:val="P28"/>
        <w:framePr w:w="3921" w:h="376" w:hRule="exact" w:wrap="none" w:vAnchor="page" w:hAnchor="margin" w:x="6800" w:y="9346"/>
        <w:rPr>
          <w:rStyle w:val="C3"/>
          <w:rtl w:val="0"/>
        </w:rPr>
      </w:pPr>
    </w:p>
    <w:p>
      <w:pPr>
        <w:pStyle w:val="P29"/>
        <w:framePr w:w="3839" w:h="249" w:hRule="exact" w:wrap="none" w:vAnchor="page" w:hAnchor="margin" w:x="6856" w:y="9402"/>
        <w:rPr>
          <w:rStyle w:val="C21"/>
          <w:rtl w:val="0"/>
        </w:rPr>
      </w:pPr>
      <w:r>
        <w:rPr>
          <w:rStyle w:val="C21"/>
          <w:rtl w:val="0"/>
        </w:rPr>
        <w:t>Praktické předvedení a ústní ověření</w:t>
      </w:r>
    </w:p>
    <w:p>
      <w:pPr>
        <w:pStyle w:val="P32"/>
        <w:framePr w:w="10710" w:h="248" w:hRule="exact" w:wrap="none" w:vAnchor="page" w:hAnchor="margin" w:x="28" w:y="9836"/>
        <w:rPr>
          <w:rStyle w:val="C23"/>
          <w:rtl w:val="0"/>
        </w:rPr>
      </w:pPr>
      <w:r>
        <w:rPr>
          <w:rStyle w:val="C23"/>
          <w:rtl w:val="0"/>
        </w:rPr>
        <w:t>Je třeba splnit všechna kritéria.</w:t>
      </w:r>
    </w:p>
    <w:p>
      <w:pPr>
        <w:pStyle w:val="P23"/>
        <w:framePr w:w="10710" w:h="340" w:hRule="exact" w:wrap="none" w:vAnchor="page" w:hAnchor="margin" w:x="28" w:y="10271"/>
        <w:rPr>
          <w:rStyle w:val="C18"/>
          <w:rtl w:val="0"/>
        </w:rPr>
      </w:pPr>
      <w:r>
        <w:rPr>
          <w:rStyle w:val="C18"/>
          <w:rtl w:val="0"/>
        </w:rPr>
        <w:t>Provádění a opravy nátěrů na kov, dřevo a jiné podklady</w:t>
      </w:r>
    </w:p>
    <w:p>
      <w:pPr>
        <w:pStyle w:val="P24"/>
        <w:framePr w:w="6713" w:h="376" w:hRule="exact" w:wrap="none" w:vAnchor="page" w:hAnchor="margin" w:x="45" w:y="10711"/>
        <w:rPr>
          <w:rStyle w:val="C3"/>
          <w:rtl w:val="0"/>
        </w:rPr>
      </w:pPr>
    </w:p>
    <w:p>
      <w:pPr>
        <w:pStyle w:val="P25"/>
        <w:framePr w:w="6661" w:h="249" w:hRule="exact" w:wrap="none" w:vAnchor="page" w:hAnchor="margin" w:x="71" w:y="10782"/>
        <w:rPr>
          <w:rStyle w:val="C19"/>
          <w:rtl w:val="0"/>
        </w:rPr>
      </w:pPr>
      <w:r>
        <w:rPr>
          <w:rStyle w:val="C19"/>
          <w:rtl w:val="0"/>
        </w:rPr>
        <w:t>Kritéria hodnocení</w:t>
      </w:r>
    </w:p>
    <w:p>
      <w:pPr>
        <w:pStyle w:val="P26"/>
        <w:framePr w:w="3918" w:h="376" w:hRule="exact" w:wrap="none" w:vAnchor="page" w:hAnchor="margin" w:x="6803" w:y="10711"/>
        <w:rPr>
          <w:rStyle w:val="C3"/>
          <w:rtl w:val="0"/>
        </w:rPr>
      </w:pPr>
    </w:p>
    <w:p>
      <w:pPr>
        <w:pStyle w:val="P27"/>
        <w:framePr w:w="3836" w:h="249" w:hRule="exact" w:wrap="none" w:vAnchor="page" w:hAnchor="margin" w:x="6859" w:y="10782"/>
        <w:rPr>
          <w:rStyle w:val="C20"/>
          <w:rtl w:val="0"/>
        </w:rPr>
      </w:pPr>
      <w:r>
        <w:rPr>
          <w:rStyle w:val="C20"/>
          <w:rtl w:val="0"/>
        </w:rPr>
        <w:t>Způsoby ověření</w:t>
      </w:r>
    </w:p>
    <w:p>
      <w:pPr>
        <w:pStyle w:val="P12"/>
        <w:framePr w:w="6710" w:h="376" w:hRule="exact" w:wrap="none" w:vAnchor="page" w:hAnchor="margin" w:x="45" w:y="11087"/>
        <w:rPr>
          <w:rStyle w:val="C3"/>
          <w:rtl w:val="0"/>
        </w:rPr>
      </w:pPr>
    </w:p>
    <w:p>
      <w:pPr>
        <w:pStyle w:val="P13"/>
        <w:framePr w:w="6658" w:h="249" w:hRule="exact" w:wrap="none" w:vAnchor="page" w:hAnchor="margin" w:x="71" w:y="11143"/>
        <w:rPr>
          <w:rStyle w:val="C11"/>
          <w:rtl w:val="0"/>
        </w:rPr>
      </w:pPr>
      <w:r>
        <w:rPr>
          <w:rStyle w:val="C11"/>
          <w:rtl w:val="0"/>
        </w:rPr>
        <w:t>a) Popsat způsoby provádění a oprav nátěrů</w:t>
      </w:r>
    </w:p>
    <w:p>
      <w:pPr>
        <w:pStyle w:val="P28"/>
        <w:framePr w:w="3921" w:h="376" w:hRule="exact" w:wrap="none" w:vAnchor="page" w:hAnchor="margin" w:x="6800" w:y="11087"/>
        <w:rPr>
          <w:rStyle w:val="C3"/>
          <w:rtl w:val="0"/>
        </w:rPr>
      </w:pPr>
    </w:p>
    <w:p>
      <w:pPr>
        <w:pStyle w:val="P29"/>
        <w:framePr w:w="3839" w:h="249" w:hRule="exact" w:wrap="none" w:vAnchor="page" w:hAnchor="margin" w:x="6856" w:y="11143"/>
        <w:rPr>
          <w:rStyle w:val="C21"/>
          <w:rtl w:val="0"/>
        </w:rPr>
      </w:pPr>
      <w:r>
        <w:rPr>
          <w:rStyle w:val="C21"/>
          <w:rtl w:val="0"/>
        </w:rPr>
        <w:t>Ústní ověření</w:t>
      </w:r>
    </w:p>
    <w:p>
      <w:pPr>
        <w:pStyle w:val="P16"/>
        <w:framePr w:w="6710" w:h="376" w:hRule="exact" w:wrap="none" w:vAnchor="page" w:hAnchor="margin" w:x="45" w:y="11463"/>
        <w:rPr>
          <w:rStyle w:val="C3"/>
          <w:rtl w:val="0"/>
        </w:rPr>
      </w:pPr>
    </w:p>
    <w:p>
      <w:pPr>
        <w:pStyle w:val="P17"/>
        <w:framePr w:w="6658" w:h="249" w:hRule="exact" w:wrap="none" w:vAnchor="page" w:hAnchor="margin" w:x="71" w:y="11519"/>
        <w:rPr>
          <w:rStyle w:val="C13"/>
          <w:rtl w:val="0"/>
        </w:rPr>
      </w:pPr>
      <w:r>
        <w:rPr>
          <w:rStyle w:val="C13"/>
          <w:rtl w:val="0"/>
        </w:rPr>
        <w:t>b) Popsat nářadí, pracovní pomůcky a zařízení pro provádění nátěrů</w:t>
      </w:r>
    </w:p>
    <w:p>
      <w:pPr>
        <w:pStyle w:val="P30"/>
        <w:framePr w:w="3921" w:h="376" w:hRule="exact" w:wrap="none" w:vAnchor="page" w:hAnchor="margin" w:x="6800" w:y="11463"/>
        <w:rPr>
          <w:rStyle w:val="C3"/>
          <w:rtl w:val="0"/>
        </w:rPr>
      </w:pPr>
    </w:p>
    <w:p>
      <w:pPr>
        <w:pStyle w:val="P31"/>
        <w:framePr w:w="3839" w:h="249" w:hRule="exact" w:wrap="none" w:vAnchor="page" w:hAnchor="margin" w:x="6856" w:y="11519"/>
        <w:rPr>
          <w:rStyle w:val="C22"/>
          <w:rtl w:val="0"/>
        </w:rPr>
      </w:pPr>
      <w:r>
        <w:rPr>
          <w:rStyle w:val="C22"/>
          <w:rtl w:val="0"/>
        </w:rPr>
        <w:t>Ústní ověření</w:t>
      </w:r>
    </w:p>
    <w:p>
      <w:pPr>
        <w:pStyle w:val="P12"/>
        <w:framePr w:w="6710" w:h="376" w:hRule="exact" w:wrap="none" w:vAnchor="page" w:hAnchor="margin" w:x="45" w:y="11839"/>
        <w:rPr>
          <w:rStyle w:val="C3"/>
          <w:rtl w:val="0"/>
        </w:rPr>
      </w:pPr>
    </w:p>
    <w:p>
      <w:pPr>
        <w:pStyle w:val="P13"/>
        <w:framePr w:w="6658" w:h="249" w:hRule="exact" w:wrap="none" w:vAnchor="page" w:hAnchor="margin" w:x="71" w:y="11895"/>
        <w:rPr>
          <w:rStyle w:val="C11"/>
          <w:rtl w:val="0"/>
        </w:rPr>
      </w:pPr>
      <w:r>
        <w:rPr>
          <w:rStyle w:val="C11"/>
          <w:rtl w:val="0"/>
        </w:rPr>
        <w:t>c) Popsat způsoby kontroly nátěrů a kontrolované parametry</w:t>
      </w:r>
    </w:p>
    <w:p>
      <w:pPr>
        <w:pStyle w:val="P28"/>
        <w:framePr w:w="3921" w:h="376" w:hRule="exact" w:wrap="none" w:vAnchor="page" w:hAnchor="margin" w:x="6800" w:y="11839"/>
        <w:rPr>
          <w:rStyle w:val="C3"/>
          <w:rtl w:val="0"/>
        </w:rPr>
      </w:pPr>
    </w:p>
    <w:p>
      <w:pPr>
        <w:pStyle w:val="P29"/>
        <w:framePr w:w="3839" w:h="249" w:hRule="exact" w:wrap="none" w:vAnchor="page" w:hAnchor="margin" w:x="6856" w:y="11895"/>
        <w:rPr>
          <w:rStyle w:val="C21"/>
          <w:rtl w:val="0"/>
        </w:rPr>
      </w:pPr>
      <w:r>
        <w:rPr>
          <w:rStyle w:val="C21"/>
          <w:rtl w:val="0"/>
        </w:rPr>
        <w:t>Ústní ověření</w:t>
      </w:r>
    </w:p>
    <w:p>
      <w:pPr>
        <w:pStyle w:val="P16"/>
        <w:framePr w:w="6710" w:h="376" w:hRule="exact" w:wrap="none" w:vAnchor="page" w:hAnchor="margin" w:x="45" w:y="12216"/>
        <w:rPr>
          <w:rStyle w:val="C3"/>
          <w:rtl w:val="0"/>
        </w:rPr>
      </w:pPr>
    </w:p>
    <w:p>
      <w:pPr>
        <w:pStyle w:val="P17"/>
        <w:framePr w:w="6658" w:h="249" w:hRule="exact" w:wrap="none" w:vAnchor="page" w:hAnchor="margin" w:x="71" w:y="12272"/>
        <w:rPr>
          <w:rStyle w:val="C13"/>
          <w:rtl w:val="0"/>
        </w:rPr>
      </w:pPr>
      <w:r>
        <w:rPr>
          <w:rStyle w:val="C13"/>
          <w:rtl w:val="0"/>
        </w:rPr>
        <w:t>d) Provést nátěr podle zadání</w:t>
      </w:r>
    </w:p>
    <w:p>
      <w:pPr>
        <w:pStyle w:val="P30"/>
        <w:framePr w:w="3921" w:h="376" w:hRule="exact" w:wrap="none" w:vAnchor="page" w:hAnchor="margin" w:x="6800" w:y="12216"/>
        <w:rPr>
          <w:rStyle w:val="C3"/>
          <w:rtl w:val="0"/>
        </w:rPr>
      </w:pPr>
    </w:p>
    <w:p>
      <w:pPr>
        <w:pStyle w:val="P31"/>
        <w:framePr w:w="3839" w:h="249" w:hRule="exact" w:wrap="none" w:vAnchor="page" w:hAnchor="margin" w:x="6856" w:y="12272"/>
        <w:rPr>
          <w:rStyle w:val="C22"/>
          <w:rtl w:val="0"/>
        </w:rPr>
      </w:pPr>
      <w:r>
        <w:rPr>
          <w:rStyle w:val="C22"/>
          <w:rtl w:val="0"/>
        </w:rPr>
        <w:t>Praktické předvedení a ústní ověření</w:t>
      </w:r>
    </w:p>
    <w:p>
      <w:pPr>
        <w:pStyle w:val="P12"/>
        <w:framePr w:w="6710" w:h="376" w:hRule="exact" w:wrap="none" w:vAnchor="page" w:hAnchor="margin" w:x="45" w:y="12592"/>
        <w:rPr>
          <w:rStyle w:val="C3"/>
          <w:rtl w:val="0"/>
        </w:rPr>
      </w:pPr>
    </w:p>
    <w:p>
      <w:pPr>
        <w:pStyle w:val="P13"/>
        <w:framePr w:w="6658" w:h="249" w:hRule="exact" w:wrap="none" w:vAnchor="page" w:hAnchor="margin" w:x="71" w:y="12648"/>
        <w:rPr>
          <w:rStyle w:val="C11"/>
          <w:rtl w:val="0"/>
        </w:rPr>
      </w:pPr>
      <w:r>
        <w:rPr>
          <w:rStyle w:val="C11"/>
          <w:rtl w:val="0"/>
        </w:rPr>
        <w:t>e) Opravit nátěr podle zadání</w:t>
      </w:r>
    </w:p>
    <w:p>
      <w:pPr>
        <w:pStyle w:val="P28"/>
        <w:framePr w:w="3921" w:h="376" w:hRule="exact" w:wrap="none" w:vAnchor="page" w:hAnchor="margin" w:x="6800" w:y="12592"/>
        <w:rPr>
          <w:rStyle w:val="C3"/>
          <w:rtl w:val="0"/>
        </w:rPr>
      </w:pPr>
    </w:p>
    <w:p>
      <w:pPr>
        <w:pStyle w:val="P29"/>
        <w:framePr w:w="3839" w:h="249" w:hRule="exact" w:wrap="none" w:vAnchor="page" w:hAnchor="margin" w:x="6856" w:y="12648"/>
        <w:rPr>
          <w:rStyle w:val="C21"/>
          <w:rtl w:val="0"/>
        </w:rPr>
      </w:pPr>
      <w:r>
        <w:rPr>
          <w:rStyle w:val="C21"/>
          <w:rtl w:val="0"/>
        </w:rPr>
        <w:t>Praktické předvedení a ústní ověření</w:t>
      </w:r>
    </w:p>
    <w:p>
      <w:pPr>
        <w:pStyle w:val="P16"/>
        <w:framePr w:w="6710" w:h="376" w:hRule="exact" w:wrap="none" w:vAnchor="page" w:hAnchor="margin" w:x="45" w:y="12968"/>
        <w:rPr>
          <w:rStyle w:val="C3"/>
          <w:rtl w:val="0"/>
        </w:rPr>
      </w:pPr>
    </w:p>
    <w:p>
      <w:pPr>
        <w:pStyle w:val="P17"/>
        <w:framePr w:w="6658" w:h="249" w:hRule="exact" w:wrap="none" w:vAnchor="page" w:hAnchor="margin" w:x="71" w:y="13024"/>
        <w:rPr>
          <w:rStyle w:val="C13"/>
          <w:rtl w:val="0"/>
        </w:rPr>
      </w:pPr>
      <w:r>
        <w:rPr>
          <w:rStyle w:val="C13"/>
          <w:rtl w:val="0"/>
        </w:rPr>
        <w:t>f) Kontrolovat kvalitu provedených prací</w:t>
      </w:r>
    </w:p>
    <w:p>
      <w:pPr>
        <w:pStyle w:val="P30"/>
        <w:framePr w:w="3921" w:h="376" w:hRule="exact" w:wrap="none" w:vAnchor="page" w:hAnchor="margin" w:x="6800" w:y="12968"/>
        <w:rPr>
          <w:rStyle w:val="C3"/>
          <w:rtl w:val="0"/>
        </w:rPr>
      </w:pPr>
    </w:p>
    <w:p>
      <w:pPr>
        <w:pStyle w:val="P31"/>
        <w:framePr w:w="3839" w:h="249" w:hRule="exact" w:wrap="none" w:vAnchor="page" w:hAnchor="margin" w:x="6856" w:y="13024"/>
        <w:rPr>
          <w:rStyle w:val="C22"/>
          <w:rtl w:val="0"/>
        </w:rPr>
      </w:pPr>
      <w:r>
        <w:rPr>
          <w:rStyle w:val="C22"/>
          <w:rtl w:val="0"/>
        </w:rPr>
        <w:t>Praktické předvedení a ústní ověření</w:t>
      </w:r>
    </w:p>
    <w:p>
      <w:pPr>
        <w:pStyle w:val="P32"/>
        <w:framePr w:w="10710" w:h="248" w:hRule="exact" w:wrap="none" w:vAnchor="page" w:hAnchor="margin" w:x="28" w:y="13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údržby a technického dozoru, 30.9.2026 1:44:11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a koordinace outsourcovaných servisních zásahů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Zjistit z inventární karty majetku, jestli je předmět v záruční lhůtě; rozhodnout o záruční/pozáruční opravě poruchy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 případě záruční opravy zjistit dodavatele z inventární karty majetku; u dodavatele ověřit možnost provedení servisního zásahu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 případě pozáruční opravy zjistit vhodného dodavatele servisního zásahu vzhledem k nákladům, předchozím zkušenostem, referencím a dostupnosti; u nejvhodnějšího dodavatele ověřit možnost servisního zásahu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Zapsat servisní zásah do evidence servisních zásahů</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Vedení evidence revizí, servisních zásahů a oprav</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Specifikovat předepsané revize a servisní zásahy</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Založit v tabulkovém procesoru evidenci revizí a servisních zásahů</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Provést zápis do servisní knihy</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Praktické předvedení</w:t>
      </w:r>
    </w:p>
    <w:p>
      <w:pPr>
        <w:pStyle w:val="P32"/>
        <w:framePr w:w="10710" w:h="248" w:hRule="exact" w:wrap="none" w:vAnchor="page" w:hAnchor="margin" w:x="28" w:y="79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údržby a technického dozoru, 30.9.2026 1:44:11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"https://www.nsp.cz/jednotka-prace/pracovnik-udrzby-a-techni"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https://www.nsp.cz/jednotka-prace/pracovnik-udrzby-a-techni#zdravotni-zpusobilost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single"/>
          <w:shd w:val="clear" w:color="auto" w:fill="auto"/>
          <w:vertAlign w:val="baseline"/>
          <w:lang/>
        </w:rPr>
        <w:t>Zkouška probíhá následujícím způsobem:</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Den 1.</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7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Nanášení omítek a finální povrchové úpravy stavebních ploch:</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ověří veškeré teoretické znalosti v rámci kompetence. Na níže specifikovaném pracovišti provede uchazeč veškeré úkony vedoucí k úspěšnému nánosu omítky (tj. příprava podkladu - odstranění přesahujícího zdiva a očištění zdiva od nečistot, namíchání omítkové směsi, nanesení omítky, příprava štukovací směsi, štukování, kontrola rovnosti). Uchazeč u zkoušky omítne a naštukuje dva kusy neomítnuté zdi o rozměrech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71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Provádění a opravy nátěrů na kov, dřevo a jiné podklady:</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ověří veškeré teoretické znalosti v rámci kompetence. Na níže specifikovaném pracovišti provede uchazeč veškeré úkony vedoucí k novému nátěru dřevěného předmětu (např. výplně zábradlí) a úkony vedoucí k opravě nátěru kovového předmětu (např. konstrukce zábradlí) o rozměru 1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Den 2.</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715"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Nanášení malířských nátěrů štětkou, štětcem a válečkem:</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ověří veškeré teoretické znalosti v rámci kompetence. Na stejném pracovišti, jako v případě zkoušení kompetence (</w:t>
      </w:r>
      <w:r>
        <w:rPr>
          <w:rFonts w:ascii="Arial" w:cs="Arial" w:hAnsi="Arial" w:eastAsia="Arial"/>
          <w:b w:val="0"/>
          <w:i w:val="1"/>
          <w:caps w:val="0"/>
          <w:strike w:val="0"/>
          <w:noProof w:val="0"/>
          <w:vanish w:val="0"/>
          <w:color w:val="auto"/>
          <w:sz w:val="20"/>
          <w:u w:val="none"/>
          <w:shd w:val="clear" w:color="auto" w:fill="auto"/>
          <w:vertAlign w:val="baseline"/>
          <w:lang/>
        </w:rPr>
        <w:t>Nanášení omítek a finální povrchové úpravy stavebních ploch)</w:t>
      </w:r>
      <w:r>
        <w:rPr>
          <w:rFonts w:ascii="Arial" w:cs="Arial" w:hAnsi="Arial" w:eastAsia="Arial"/>
          <w:b w:val="0"/>
          <w:i w:val="0"/>
          <w:caps w:val="0"/>
          <w:strike w:val="0"/>
          <w:noProof w:val="0"/>
          <w:vanish w:val="0"/>
          <w:color w:val="auto"/>
          <w:sz w:val="20"/>
          <w:u w:val="none"/>
          <w:shd w:val="clear" w:color="auto" w:fill="auto"/>
          <w:vertAlign w:val="baseline"/>
          <w:lang/>
        </w:rPr>
        <w:t>, provede uchazeč veškeré úkony vedoucí k úspěšnému nátěru omítnuté části (tj. namíchání barvy, příprava podkladu - odstranění nečistot a nanesení penetrace, nanesení nátěru). Uchazeč při zkoušce připraví a nanese nátěrovou hmotu na omítnuté a naštukované části zdi o rozměru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715"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Vedení evidence revizí, servisních zásahů a oprav:</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ověří znalost metrik servisních zásahů: datum zadání, stav (hotovo, nezahájeno, probíhá), datum a čas zahájení prací, datum a čas ukončení prací, popis prováděné práce, použitý materiál, náklady na materiál, počet hodin strávených úkolem, vykonavatel (interní/externí), cena za úkon (v případě externího vykonavatele). Na PC vytvoří tabulku, obsahující výše zmíněné metriky. Provede zkušební zápisy pro všechny provedené praktické zkoušky (běžné nahazování, omítání a štukování stavebních ploch; provádění malířských nátěrů; provádění laků a nátěrů na kov a dřevo)</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715"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Zajištění a koordinace outsourcovaných servisních zásahů:</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předá uchazeči inventární kartu majetku (typického pro maloobchodní provoz, např. podlahový mycí stroj) a popis závady (lze použít i imaginární). Úkolem uchazeče je zjistit, zda je možné žádat o záruční servis, nebo je nutné využít pozáručního servisu. V případě záručního servisu zjistí časové možnosti dodavatele a zapíše do evidence servisních zásahů a oprav. V případě pozáručního servisu zjistí na internetu nejvhodnější servisní společnost (tj. s nejlepšími referencemi, nejkratší vzdáleností a nejnižšími náklady na opravu), zjistí časové možnosti dodavatele a zapíše do evidence servisních zásahů a oprav.</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Den 1. a 2. od sebe dělí minimálně 10 dní a to z technologických důvodů (tuhnutí omítkové směsi před následným nátěrem).</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nutno sledovat samostatnost rozhodování a schopnost zvolit nejvhonější řešení vzhledem k řešenému úkonu. Při provádění praktických zkoušek je potřeba klást důraz na bezpečné provádění všech úkonů.</w:t>
      </w:r>
    </w:p>
    <w:p>
      <w:pPr>
        <w:pStyle w:val="P21"/>
        <w:framePr w:w="7654" w:h="331" w:hRule="exact" w:wrap="none" w:vAnchor="page" w:hAnchor="margin" w:x="28" w:y="15940"/>
        <w:rPr>
          <w:rStyle w:val="C16"/>
          <w:rtl w:val="0"/>
        </w:rPr>
      </w:pPr>
      <w:r>
        <w:rPr>
          <w:rStyle w:val="C16"/>
          <w:rtl w:val="0"/>
        </w:rPr>
        <w:t>Pracovník/pracovnice údržby a technického dozoru, 30.9.2026 1:44:11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38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38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alepsoň jednu z následujících variant:</w:t>
      </w:r>
    </w:p>
    <w:p>
      <w:pPr>
        <w:keepNext w:val="0"/>
        <w:keepLines w:val="0"/>
        <w:framePr w:w="10766" w:h="38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35" w:hRule="exact" w:wrap="none" w:vAnchor="page" w:hAnchor="margin" w:x="0" w:y="636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zedník (36-67-H/01) nebo malíř a lakýrník (39-41-H/01) a praxí v oboru údržby a technického dozoru minimálně pět let. </w:t>
      </w:r>
    </w:p>
    <w:p>
      <w:pPr>
        <w:keepNext w:val="0"/>
        <w:keepLines w:val="1"/>
        <w:framePr w:w="10766" w:h="3835" w:hRule="exact" w:wrap="none" w:vAnchor="page" w:hAnchor="margin" w:x="0" w:y="636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technickém oboru a alespoň 5 let odborné praxe v oblasti údržby a technického dozoru. </w:t>
      </w:r>
    </w:p>
    <w:p>
      <w:pPr>
        <w:keepNext w:val="0"/>
        <w:keepLines w:val="0"/>
        <w:framePr w:w="10766" w:h="38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8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údržby a technického dozoru, 30.9.2026 1:44:11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je třeba mít k dispozici minimálně následující materiálně-technické zázemí včetně příslušného vybavení:</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 PC, umožňující práci v tabulkovém procesoru a internetovém prohlížeči - kompetence Zajištění a koordinace outsourcovaných servisních zásahů a Vedení evidence revizí, servisních zásahů a oprav</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provádění zednických, omítkářských prací a nanášení malířských nátěrů - kompetence Nanášení omítek a finální povrchové úpravy stavebních ploch a Nanášení malířských nátěrů štětkou, štětcem a válečkem.</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kusy neomítnuté zdi o rozměrech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přípravu a provádění laků a nátěrů na kov a dřevo - kompetence Provádění a opravy nátěrů na kov, dřevo a jiné podklady. Mělo by jít o předmět skládající se ze dřeva a kovu (např. železné zábradlí s dřevěnou výplní)</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•Požadované vybavení: </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•zednická lžíce, špachtle, stavební plastové vědro 16 litrů nebo větší, míchadlo stavebních směsí nebo vrtačka s nástrojem pro míchání stavebních směsí, hladítko, stěrka, stahovací lišta nebo deska, vodní váha</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•malířský váleček, štětce alespoň tří různých velikostí, štětka, maskovací páska, malířský kbelík, mřížka pro váleček</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•ocelový kartáč, pilník, smirkový papír minimálně tří různých drsností, štětce minimálně dvou velikostí</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•inventární karta majetku, obsahující informaci o výrobci, typu, dadavateli, datum nákupu a délku záruky</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BOZP</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•Požadovaný materiál:</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•voda, omítková směs, štukovací směs</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•tekutá malba - nátěrová barva, penetrace</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•barva na kov, barva na dřevo, ředidlo</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uskutečnění zkoušky z hlediska BOZP odpovídaly bezpečnostním požadavkům a hygienickým limitům na pracovní prostředí a pracoviště.</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36"/>
        <w:rPr>
          <w:rStyle w:val="C3"/>
          <w:rtl w:val="0"/>
        </w:rPr>
      </w:pPr>
    </w:p>
    <w:p>
      <w:pPr>
        <w:pStyle w:val="P35"/>
        <w:framePr w:w="10710" w:h="340" w:hRule="exact" w:wrap="none" w:vAnchor="page" w:hAnchor="margin" w:x="28" w:y="10036"/>
        <w:rPr>
          <w:rStyle w:val="C25"/>
          <w:rtl w:val="0"/>
        </w:rPr>
      </w:pPr>
      <w:r>
        <w:rPr>
          <w:rStyle w:val="C25"/>
          <w:rtl w:val="0"/>
        </w:rPr>
        <w:t>Doba přípravy na zkoušku</w:t>
      </w:r>
    </w:p>
    <w:p>
      <w:pPr>
        <w:keepNext w:val="0"/>
        <w:keepLines w:val="0"/>
        <w:framePr w:w="10766" w:h="806" w:hRule="exact" w:wrap="none" w:vAnchor="page" w:hAnchor="margin" w:x="0" w:y="10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409"/>
        <w:rPr>
          <w:rStyle w:val="C3"/>
          <w:rtl w:val="0"/>
        </w:rPr>
      </w:pPr>
    </w:p>
    <w:p>
      <w:pPr>
        <w:pStyle w:val="P35"/>
        <w:framePr w:w="10710" w:h="340" w:hRule="exact" w:wrap="none" w:vAnchor="page" w:hAnchor="margin" w:x="28" w:y="11409"/>
        <w:rPr>
          <w:rStyle w:val="C25"/>
          <w:rtl w:val="0"/>
        </w:rPr>
      </w:pPr>
      <w:r>
        <w:rPr>
          <w:rStyle w:val="C25"/>
          <w:rtl w:val="0"/>
        </w:rPr>
        <w:t>Doba pro vykonání zkoušky</w:t>
      </w:r>
    </w:p>
    <w:p>
      <w:pPr>
        <w:keepNext w:val="0"/>
        <w:keepLines w:val="0"/>
        <w:framePr w:w="10766" w:h="806" w:hRule="exact" w:wrap="none" w:vAnchor="page" w:hAnchor="margin" w:x="0" w:y="11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Pracovník/pracovnice údržby a technického dozoru, 30.9.2026 1:44:11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pStyle w:val="P21"/>
        <w:framePr w:w="7654" w:h="331" w:hRule="exact" w:wrap="none" w:vAnchor="page" w:hAnchor="margin" w:x="28" w:y="15940"/>
        <w:rPr>
          <w:rStyle w:val="C16"/>
          <w:rtl w:val="0"/>
        </w:rPr>
      </w:pPr>
      <w:r>
        <w:rPr>
          <w:rStyle w:val="C16"/>
          <w:rtl w:val="0"/>
        </w:rPr>
        <w:t>Pracovník/pracovnice údržby a technického dozoru, 30.9.2026 1:44:11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718FC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BF606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47A4C90"/>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1D27DF2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1076F39"/>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4666DE19"/>
    <w:multiLevelType w:val="hybridMultilevel"/>
    <w:lvl w:ilvl="0" w:tplc="0000012D">
      <w:start w:val="1"/>
      <w:numFmt w:val="lowerLetter"/>
      <w:suff w:val="tab"/>
      <w:lvlText w:val="%1)"/>
      <w:lvlJc w:val="left"/>
      <w:pPr>
        <w:widowControl w:val="0"/>
        <w:ind w:hanging="360" w:left="360"/>
      </w:pPr>
      <w:rPr>
        <w:rFonts w:ascii="Arial" w:cs="Arial" w:hAnsi="Arial" w:eastAsia="Arial"/>
      </w:rPr>
    </w:lvl>
    <w:lvl w:ilvl="1" w:tplc="0000012E">
      <w:start w:val="1"/>
      <w:numFmt w:val="decimal"/>
      <w:suff w:val="tab"/>
      <w:lvlText w:val="%2)"/>
      <w:lvlJc w:val="left"/>
      <w:pPr>
        <w:widowControl w:val="0"/>
        <w:ind w:hanging="360" w:left="720"/>
      </w:pPr>
      <w:rPr>
        <w:rFonts w:ascii="Arial" w:cs="Arial" w:hAnsi="Arial" w:eastAsia="Arial"/>
      </w:rPr>
    </w:lvl>
    <w:lvl w:ilvl="2" w:tplc="0000012F">
      <w:start w:val="1"/>
      <w:numFmt w:val="decimal"/>
      <w:suff w:val="tab"/>
      <w:lvlText w:val="%3)"/>
      <w:lvlJc w:val="left"/>
      <w:pPr>
        <w:widowControl w:val="0"/>
        <w:ind w:hanging="360" w:left="1080"/>
      </w:pPr>
      <w:rPr>
        <w:rFonts w:ascii="Arial" w:cs="Arial" w:hAnsi="Arial" w:eastAsia="Arial"/>
      </w:rPr>
    </w:lvl>
    <w:lvl w:ilvl="3" w:tplc="00000130">
      <w:start w:val="1"/>
      <w:numFmt w:val="decimal"/>
      <w:suff w:val="tab"/>
      <w:lvlText w:val="%4)"/>
      <w:lvlJc w:val="left"/>
      <w:pPr>
        <w:widowControl w:val="0"/>
        <w:ind w:hanging="360" w:left="1440"/>
      </w:pPr>
      <w:rPr>
        <w:rFonts w:ascii="Arial" w:cs="Arial" w:hAnsi="Arial" w:eastAsia="Arial"/>
      </w:rPr>
    </w:lvl>
    <w:lvl w:ilvl="4" w:tplc="00000131">
      <w:start w:val="1"/>
      <w:numFmt w:val="decimal"/>
      <w:suff w:val="tab"/>
      <w:lvlText w:val="%5)"/>
      <w:lvlJc w:val="left"/>
      <w:pPr>
        <w:widowControl w:val="0"/>
        <w:ind w:hanging="360" w:left="1800"/>
      </w:pPr>
      <w:rPr>
        <w:rFonts w:ascii="Arial" w:cs="Arial" w:hAnsi="Arial" w:eastAsia="Arial"/>
      </w:rPr>
    </w:lvl>
    <w:lvl w:ilvl="5" w:tplc="00000132">
      <w:start w:val="1"/>
      <w:numFmt w:val="decimal"/>
      <w:suff w:val="tab"/>
      <w:lvlText w:val="%6)"/>
      <w:lvlJc w:val="left"/>
      <w:pPr>
        <w:widowControl w:val="0"/>
        <w:ind w:hanging="360" w:left="2160"/>
      </w:pPr>
      <w:rPr>
        <w:rFonts w:ascii="Arial" w:cs="Arial" w:hAnsi="Arial" w:eastAsia="Arial"/>
      </w:rPr>
    </w:lvl>
    <w:lvl w:ilvl="6" w:tplc="00000133">
      <w:start w:val="1"/>
      <w:numFmt w:val="decimal"/>
      <w:suff w:val="tab"/>
      <w:lvlText w:val="%7)"/>
      <w:lvlJc w:val="left"/>
      <w:pPr>
        <w:widowControl w:val="0"/>
        <w:ind w:hanging="360" w:left="2520"/>
      </w:pPr>
      <w:rPr>
        <w:rFonts w:ascii="Arial" w:cs="Arial" w:hAnsi="Arial" w:eastAsia="Arial"/>
      </w:rPr>
    </w:lvl>
    <w:lvl w:ilvl="7" w:tplc="00000134">
      <w:start w:val="1"/>
      <w:numFmt w:val="decimal"/>
      <w:suff w:val="tab"/>
      <w:lvlText w:val="%8)"/>
      <w:lvlJc w:val="left"/>
      <w:pPr>
        <w:widowControl w:val="0"/>
        <w:ind w:hanging="360" w:left="2880"/>
      </w:pPr>
      <w:rPr>
        <w:rFonts w:ascii="Arial" w:cs="Arial" w:hAnsi="Arial" w:eastAsia="Arial"/>
      </w:rPr>
    </w:lvl>
    <w:lvl w:ilvl="8" w:tplc="00000135">
      <w:start w:val="1"/>
      <w:numFmt w:val="decimal"/>
      <w:suff w:val="tab"/>
      <w:lvlText w:val="%9)"/>
      <w:lvlJc w:val="left"/>
      <w:pPr>
        <w:widowControl w:val="0"/>
        <w:ind w:hanging="360" w:left="3240"/>
      </w:pPr>
      <w:rPr>
        <w:rFonts w:ascii="Arial" w:cs="Arial" w:hAnsi="Arial" w:eastAsia="Arial"/>
      </w:rPr>
    </w:lvl>
  </w:abstractNum>
  <w:abstractNum w:abstractNumId="6">
    <w:nsid w:val="13F8DCED"/>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