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28907AD" Type="http://schemas.openxmlformats.org/officeDocument/2006/relationships/officeDocument" Target="/word/document.xml" /><Relationship Id="coreR228907AD" Type="http://schemas.openxmlformats.org/package/2006/relationships/metadata/core-properties" Target="/docProps/core.xml" /><Relationship Id="customR228907A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údržby a technického dozoru (kód: 36-175-H)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údržby a technického dozoru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Nanášení omítek a finální povrchové úpravy stavebních ploch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Nanášení malířských nátěrů štětkou, štětcem a válečkem</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a opravy nátěrů na kov, dřevo a jiné podklady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Zajištění a koordinace outsourcovaných servisních zásahů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evidence revizí, servisních zásahů a oprav</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30.08.2023</w:t>
      </w:r>
    </w:p>
    <w:p>
      <w:pPr>
        <w:pStyle w:val="P21"/>
        <w:framePr w:w="7654" w:h="331" w:hRule="exact" w:wrap="none" w:vAnchor="page" w:hAnchor="margin" w:x="28" w:y="15940"/>
        <w:rPr>
          <w:rStyle w:val="C16"/>
          <w:rtl w:val="0"/>
        </w:rPr>
      </w:pPr>
      <w:r>
        <w:rPr>
          <w:rStyle w:val="C16"/>
          <w:rtl w:val="0"/>
        </w:rPr>
        <w:t>Pracovník/pracovnice údržby a technického dozoru, 20.10.2026 7:36:57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Nanášení omítek a finální povrchové úpravy stavebních ploch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postup oprav zdí a omítek</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Vyjmenovat používané stroje a nástroje pro zednické práce a povrchové úpravy stavebních ploch</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Vyjmenovat používaný materiál pro provádění zednických, omítacích a štukatérských prací</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Ústní ověření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Provést vnitřní omítku, připravit povrch před nanášením malířských nátěrů</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Praktické předvedení</w:t>
      </w:r>
    </w:p>
    <w:p>
      <w:pPr>
        <w:pStyle w:val="P32"/>
        <w:framePr w:w="10710" w:h="248" w:hRule="exact" w:wrap="none" w:vAnchor="page" w:hAnchor="margin" w:x="28" w:y="5607"/>
        <w:rPr>
          <w:rStyle w:val="C23"/>
          <w:rtl w:val="0"/>
        </w:rPr>
      </w:pPr>
      <w:r>
        <w:rPr>
          <w:rStyle w:val="C23"/>
          <w:rtl w:val="0"/>
        </w:rPr>
        <w:t>Je třeba splnit všechna kritéria.</w:t>
      </w:r>
    </w:p>
    <w:p>
      <w:pPr>
        <w:pStyle w:val="P23"/>
        <w:framePr w:w="10710" w:h="340" w:hRule="exact" w:wrap="none" w:vAnchor="page" w:hAnchor="margin" w:x="28" w:y="6043"/>
        <w:rPr>
          <w:rStyle w:val="C18"/>
          <w:rtl w:val="0"/>
        </w:rPr>
      </w:pPr>
      <w:r>
        <w:rPr>
          <w:rStyle w:val="C18"/>
          <w:rtl w:val="0"/>
        </w:rPr>
        <w:t>Nanášení malířských nátěrů štětkou, štětcem a válečkem</w:t>
      </w:r>
    </w:p>
    <w:p>
      <w:pPr>
        <w:pStyle w:val="P24"/>
        <w:framePr w:w="6713" w:h="376" w:hRule="exact" w:wrap="none" w:vAnchor="page" w:hAnchor="margin" w:x="45" w:y="6482"/>
        <w:rPr>
          <w:rStyle w:val="C3"/>
          <w:rtl w:val="0"/>
        </w:rPr>
      </w:pPr>
    </w:p>
    <w:p>
      <w:pPr>
        <w:pStyle w:val="P25"/>
        <w:framePr w:w="6661" w:h="249" w:hRule="exact" w:wrap="none" w:vAnchor="page" w:hAnchor="margin" w:x="71" w:y="6553"/>
        <w:rPr>
          <w:rStyle w:val="C19"/>
          <w:rtl w:val="0"/>
        </w:rPr>
      </w:pPr>
      <w:r>
        <w:rPr>
          <w:rStyle w:val="C19"/>
          <w:rtl w:val="0"/>
        </w:rPr>
        <w:t>Kritéria hodnocení</w:t>
      </w:r>
    </w:p>
    <w:p>
      <w:pPr>
        <w:pStyle w:val="P26"/>
        <w:framePr w:w="3918" w:h="376" w:hRule="exact" w:wrap="none" w:vAnchor="page" w:hAnchor="margin" w:x="6803" w:y="6482"/>
        <w:rPr>
          <w:rStyle w:val="C3"/>
          <w:rtl w:val="0"/>
        </w:rPr>
      </w:pPr>
    </w:p>
    <w:p>
      <w:pPr>
        <w:pStyle w:val="P27"/>
        <w:framePr w:w="3836" w:h="249" w:hRule="exact" w:wrap="none" w:vAnchor="page" w:hAnchor="margin" w:x="6859" w:y="6553"/>
        <w:rPr>
          <w:rStyle w:val="C20"/>
          <w:rtl w:val="0"/>
        </w:rPr>
      </w:pPr>
      <w:r>
        <w:rPr>
          <w:rStyle w:val="C20"/>
          <w:rtl w:val="0"/>
        </w:rPr>
        <w:t>Způsoby ověření</w:t>
      </w:r>
    </w:p>
    <w:p>
      <w:pPr>
        <w:pStyle w:val="P12"/>
        <w:framePr w:w="6710" w:h="376" w:hRule="exact" w:wrap="none" w:vAnchor="page" w:hAnchor="margin" w:x="45" w:y="6858"/>
        <w:rPr>
          <w:rStyle w:val="C3"/>
          <w:rtl w:val="0"/>
        </w:rPr>
      </w:pPr>
    </w:p>
    <w:p>
      <w:pPr>
        <w:pStyle w:val="P13"/>
        <w:framePr w:w="6658" w:h="249" w:hRule="exact" w:wrap="none" w:vAnchor="page" w:hAnchor="margin" w:x="71" w:y="6914"/>
        <w:rPr>
          <w:rStyle w:val="C11"/>
          <w:rtl w:val="0"/>
        </w:rPr>
      </w:pPr>
      <w:r>
        <w:rPr>
          <w:rStyle w:val="C11"/>
          <w:rtl w:val="0"/>
        </w:rPr>
        <w:t>a) Popsat způsoby nanášení nátěrových hmot</w:t>
      </w:r>
    </w:p>
    <w:p>
      <w:pPr>
        <w:pStyle w:val="P28"/>
        <w:framePr w:w="3921" w:h="376" w:hRule="exact" w:wrap="none" w:vAnchor="page" w:hAnchor="margin" w:x="6800" w:y="6858"/>
        <w:rPr>
          <w:rStyle w:val="C3"/>
          <w:rtl w:val="0"/>
        </w:rPr>
      </w:pPr>
    </w:p>
    <w:p>
      <w:pPr>
        <w:pStyle w:val="P29"/>
        <w:framePr w:w="3839" w:h="249" w:hRule="exact" w:wrap="none" w:vAnchor="page" w:hAnchor="margin" w:x="6856" w:y="6914"/>
        <w:rPr>
          <w:rStyle w:val="C21"/>
          <w:rtl w:val="0"/>
        </w:rPr>
      </w:pPr>
      <w:r>
        <w:rPr>
          <w:rStyle w:val="C21"/>
          <w:rtl w:val="0"/>
        </w:rPr>
        <w:t>Ústní ověření</w:t>
      </w:r>
    </w:p>
    <w:p>
      <w:pPr>
        <w:pStyle w:val="P16"/>
        <w:framePr w:w="6710" w:h="376" w:hRule="exact" w:wrap="none" w:vAnchor="page" w:hAnchor="margin" w:x="45" w:y="7234"/>
        <w:rPr>
          <w:rStyle w:val="C3"/>
          <w:rtl w:val="0"/>
        </w:rPr>
      </w:pPr>
    </w:p>
    <w:p>
      <w:pPr>
        <w:pStyle w:val="P17"/>
        <w:framePr w:w="6658" w:h="249" w:hRule="exact" w:wrap="none" w:vAnchor="page" w:hAnchor="margin" w:x="71" w:y="7290"/>
        <w:rPr>
          <w:rStyle w:val="C13"/>
          <w:rtl w:val="0"/>
        </w:rPr>
      </w:pPr>
      <w:r>
        <w:rPr>
          <w:rStyle w:val="C13"/>
          <w:rtl w:val="0"/>
        </w:rPr>
        <w:t>b) Popsat pracovní postupy, nářadí a zařízení</w:t>
      </w:r>
    </w:p>
    <w:p>
      <w:pPr>
        <w:pStyle w:val="P30"/>
        <w:framePr w:w="3921" w:h="376" w:hRule="exact" w:wrap="none" w:vAnchor="page" w:hAnchor="margin" w:x="6800" w:y="7234"/>
        <w:rPr>
          <w:rStyle w:val="C3"/>
          <w:rtl w:val="0"/>
        </w:rPr>
      </w:pPr>
    </w:p>
    <w:p>
      <w:pPr>
        <w:pStyle w:val="P31"/>
        <w:framePr w:w="3839" w:h="249" w:hRule="exact" w:wrap="none" w:vAnchor="page" w:hAnchor="margin" w:x="6856" w:y="7290"/>
        <w:rPr>
          <w:rStyle w:val="C22"/>
          <w:rtl w:val="0"/>
        </w:rPr>
      </w:pPr>
      <w:r>
        <w:rPr>
          <w:rStyle w:val="C22"/>
          <w:rtl w:val="0"/>
        </w:rPr>
        <w:t>Ústní ověření</w:t>
      </w:r>
    </w:p>
    <w:p>
      <w:pPr>
        <w:pStyle w:val="P12"/>
        <w:framePr w:w="6710" w:h="607" w:hRule="exact" w:wrap="none" w:vAnchor="page" w:hAnchor="margin" w:x="45" w:y="7610"/>
        <w:rPr>
          <w:rStyle w:val="C3"/>
          <w:rtl w:val="0"/>
        </w:rPr>
      </w:pPr>
    </w:p>
    <w:p>
      <w:pPr>
        <w:pStyle w:val="P13"/>
        <w:framePr w:w="6658" w:h="480" w:hRule="exact" w:wrap="none" w:vAnchor="page" w:hAnchor="margin" w:x="71" w:y="7666"/>
        <w:rPr>
          <w:rStyle w:val="C11"/>
          <w:rtl w:val="0"/>
        </w:rPr>
      </w:pPr>
      <w:r>
        <w:rPr>
          <w:rStyle w:val="C11"/>
          <w:rtl w:val="0"/>
        </w:rPr>
        <w:t>c) Popsat druhy používaných nátěrových hmot s ohledem na natírané prostředí a jejich přípravu pro nanášení štětcem a válečkem a stříkáním</w:t>
      </w:r>
    </w:p>
    <w:p>
      <w:pPr>
        <w:pStyle w:val="P28"/>
        <w:framePr w:w="3921" w:h="607" w:hRule="exact" w:wrap="none" w:vAnchor="page" w:hAnchor="margin" w:x="6800" w:y="7610"/>
        <w:rPr>
          <w:rStyle w:val="C3"/>
          <w:rtl w:val="0"/>
        </w:rPr>
      </w:pPr>
    </w:p>
    <w:p>
      <w:pPr>
        <w:pStyle w:val="P29"/>
        <w:framePr w:w="3839" w:h="480" w:hRule="exact" w:wrap="none" w:vAnchor="page" w:hAnchor="margin" w:x="6856" w:y="7666"/>
        <w:rPr>
          <w:rStyle w:val="C21"/>
          <w:rtl w:val="0"/>
        </w:rPr>
      </w:pPr>
      <w:r>
        <w:rPr>
          <w:rStyle w:val="C21"/>
          <w:rtl w:val="0"/>
        </w:rPr>
        <w:t>Ústní ověření</w:t>
      </w:r>
    </w:p>
    <w:p>
      <w:pPr>
        <w:pStyle w:val="P16"/>
        <w:framePr w:w="6710" w:h="376" w:hRule="exact" w:wrap="none" w:vAnchor="page" w:hAnchor="margin" w:x="45" w:y="8217"/>
        <w:rPr>
          <w:rStyle w:val="C3"/>
          <w:rtl w:val="0"/>
        </w:rPr>
      </w:pPr>
    </w:p>
    <w:p>
      <w:pPr>
        <w:pStyle w:val="P17"/>
        <w:framePr w:w="6658" w:h="249" w:hRule="exact" w:wrap="none" w:vAnchor="page" w:hAnchor="margin" w:x="71" w:y="8273"/>
        <w:rPr>
          <w:rStyle w:val="C13"/>
          <w:rtl w:val="0"/>
        </w:rPr>
      </w:pPr>
      <w:r>
        <w:rPr>
          <w:rStyle w:val="C13"/>
          <w:rtl w:val="0"/>
        </w:rPr>
        <w:t>d) Popsat způsoby kontroly nátěrů a kontrolované parametry</w:t>
      </w:r>
    </w:p>
    <w:p>
      <w:pPr>
        <w:pStyle w:val="P30"/>
        <w:framePr w:w="3921" w:h="376" w:hRule="exact" w:wrap="none" w:vAnchor="page" w:hAnchor="margin" w:x="6800" w:y="8217"/>
        <w:rPr>
          <w:rStyle w:val="C3"/>
          <w:rtl w:val="0"/>
        </w:rPr>
      </w:pPr>
    </w:p>
    <w:p>
      <w:pPr>
        <w:pStyle w:val="P31"/>
        <w:framePr w:w="3839" w:h="249" w:hRule="exact" w:wrap="none" w:vAnchor="page" w:hAnchor="margin" w:x="6856" w:y="8273"/>
        <w:rPr>
          <w:rStyle w:val="C22"/>
          <w:rtl w:val="0"/>
        </w:rPr>
      </w:pPr>
      <w:r>
        <w:rPr>
          <w:rStyle w:val="C22"/>
          <w:rtl w:val="0"/>
        </w:rPr>
        <w:t>Ústní ověření</w:t>
      </w:r>
    </w:p>
    <w:p>
      <w:pPr>
        <w:pStyle w:val="P12"/>
        <w:framePr w:w="6710" w:h="376" w:hRule="exact" w:wrap="none" w:vAnchor="page" w:hAnchor="margin" w:x="45" w:y="8594"/>
        <w:rPr>
          <w:rStyle w:val="C3"/>
          <w:rtl w:val="0"/>
        </w:rPr>
      </w:pPr>
    </w:p>
    <w:p>
      <w:pPr>
        <w:pStyle w:val="P13"/>
        <w:framePr w:w="6658" w:h="249" w:hRule="exact" w:wrap="none" w:vAnchor="page" w:hAnchor="margin" w:x="71" w:y="8650"/>
        <w:rPr>
          <w:rStyle w:val="C11"/>
          <w:rtl w:val="0"/>
        </w:rPr>
      </w:pPr>
      <w:r>
        <w:rPr>
          <w:rStyle w:val="C11"/>
          <w:rtl w:val="0"/>
        </w:rPr>
        <w:t>e) Nanášet nátěrovou hmotu podle zadání</w:t>
      </w:r>
    </w:p>
    <w:p>
      <w:pPr>
        <w:pStyle w:val="P28"/>
        <w:framePr w:w="3921" w:h="376" w:hRule="exact" w:wrap="none" w:vAnchor="page" w:hAnchor="margin" w:x="6800" w:y="8594"/>
        <w:rPr>
          <w:rStyle w:val="C3"/>
          <w:rtl w:val="0"/>
        </w:rPr>
      </w:pPr>
    </w:p>
    <w:p>
      <w:pPr>
        <w:pStyle w:val="P29"/>
        <w:framePr w:w="3839" w:h="249" w:hRule="exact" w:wrap="none" w:vAnchor="page" w:hAnchor="margin" w:x="6856" w:y="8650"/>
        <w:rPr>
          <w:rStyle w:val="C21"/>
          <w:rtl w:val="0"/>
        </w:rPr>
      </w:pPr>
      <w:r>
        <w:rPr>
          <w:rStyle w:val="C21"/>
          <w:rtl w:val="0"/>
        </w:rPr>
        <w:t>Praktické předvedení a ústní ověření</w:t>
      </w:r>
    </w:p>
    <w:p>
      <w:pPr>
        <w:pStyle w:val="P16"/>
        <w:framePr w:w="6710" w:h="376" w:hRule="exact" w:wrap="none" w:vAnchor="page" w:hAnchor="margin" w:x="45" w:y="8970"/>
        <w:rPr>
          <w:rStyle w:val="C3"/>
          <w:rtl w:val="0"/>
        </w:rPr>
      </w:pPr>
    </w:p>
    <w:p>
      <w:pPr>
        <w:pStyle w:val="P17"/>
        <w:framePr w:w="6658" w:h="249" w:hRule="exact" w:wrap="none" w:vAnchor="page" w:hAnchor="margin" w:x="71" w:y="9026"/>
        <w:rPr>
          <w:rStyle w:val="C13"/>
          <w:rtl w:val="0"/>
        </w:rPr>
      </w:pPr>
      <w:r>
        <w:rPr>
          <w:rStyle w:val="C13"/>
          <w:rtl w:val="0"/>
        </w:rPr>
        <w:t>f) Připravit nátěrovou hmotu k použití</w:t>
      </w:r>
    </w:p>
    <w:p>
      <w:pPr>
        <w:pStyle w:val="P30"/>
        <w:framePr w:w="3921" w:h="376" w:hRule="exact" w:wrap="none" w:vAnchor="page" w:hAnchor="margin" w:x="6800" w:y="8970"/>
        <w:rPr>
          <w:rStyle w:val="C3"/>
          <w:rtl w:val="0"/>
        </w:rPr>
      </w:pPr>
    </w:p>
    <w:p>
      <w:pPr>
        <w:pStyle w:val="P31"/>
        <w:framePr w:w="3839" w:h="249" w:hRule="exact" w:wrap="none" w:vAnchor="page" w:hAnchor="margin" w:x="6856" w:y="9026"/>
        <w:rPr>
          <w:rStyle w:val="C22"/>
          <w:rtl w:val="0"/>
        </w:rPr>
      </w:pPr>
      <w:r>
        <w:rPr>
          <w:rStyle w:val="C22"/>
          <w:rtl w:val="0"/>
        </w:rPr>
        <w:t>Praktické předvedení a ústní ověření</w:t>
      </w:r>
    </w:p>
    <w:p>
      <w:pPr>
        <w:pStyle w:val="P12"/>
        <w:framePr w:w="6710" w:h="376" w:hRule="exact" w:wrap="none" w:vAnchor="page" w:hAnchor="margin" w:x="45" w:y="9346"/>
        <w:rPr>
          <w:rStyle w:val="C3"/>
          <w:rtl w:val="0"/>
        </w:rPr>
      </w:pPr>
    </w:p>
    <w:p>
      <w:pPr>
        <w:pStyle w:val="P13"/>
        <w:framePr w:w="6658" w:h="249" w:hRule="exact" w:wrap="none" w:vAnchor="page" w:hAnchor="margin" w:x="71" w:y="9402"/>
        <w:rPr>
          <w:rStyle w:val="C11"/>
          <w:rtl w:val="0"/>
        </w:rPr>
      </w:pPr>
      <w:r>
        <w:rPr>
          <w:rStyle w:val="C11"/>
          <w:rtl w:val="0"/>
        </w:rPr>
        <w:t>g) Zkontrolovat kvalitu povrchu po aplikaci nátěrové hmoty</w:t>
      </w:r>
    </w:p>
    <w:p>
      <w:pPr>
        <w:pStyle w:val="P28"/>
        <w:framePr w:w="3921" w:h="376" w:hRule="exact" w:wrap="none" w:vAnchor="page" w:hAnchor="margin" w:x="6800" w:y="9346"/>
        <w:rPr>
          <w:rStyle w:val="C3"/>
          <w:rtl w:val="0"/>
        </w:rPr>
      </w:pPr>
    </w:p>
    <w:p>
      <w:pPr>
        <w:pStyle w:val="P29"/>
        <w:framePr w:w="3839" w:h="249" w:hRule="exact" w:wrap="none" w:vAnchor="page" w:hAnchor="margin" w:x="6856" w:y="9402"/>
        <w:rPr>
          <w:rStyle w:val="C21"/>
          <w:rtl w:val="0"/>
        </w:rPr>
      </w:pPr>
      <w:r>
        <w:rPr>
          <w:rStyle w:val="C21"/>
          <w:rtl w:val="0"/>
        </w:rPr>
        <w:t>Praktické předvedení a ústní ověření</w:t>
      </w:r>
    </w:p>
    <w:p>
      <w:pPr>
        <w:pStyle w:val="P32"/>
        <w:framePr w:w="10710" w:h="248" w:hRule="exact" w:wrap="none" w:vAnchor="page" w:hAnchor="margin" w:x="28" w:y="9836"/>
        <w:rPr>
          <w:rStyle w:val="C23"/>
          <w:rtl w:val="0"/>
        </w:rPr>
      </w:pPr>
      <w:r>
        <w:rPr>
          <w:rStyle w:val="C23"/>
          <w:rtl w:val="0"/>
        </w:rPr>
        <w:t>Je třeba splnit všechna kritéria.</w:t>
      </w:r>
    </w:p>
    <w:p>
      <w:pPr>
        <w:pStyle w:val="P23"/>
        <w:framePr w:w="10710" w:h="340" w:hRule="exact" w:wrap="none" w:vAnchor="page" w:hAnchor="margin" w:x="28" w:y="10271"/>
        <w:rPr>
          <w:rStyle w:val="C18"/>
          <w:rtl w:val="0"/>
        </w:rPr>
      </w:pPr>
      <w:r>
        <w:rPr>
          <w:rStyle w:val="C18"/>
          <w:rtl w:val="0"/>
        </w:rPr>
        <w:t>Provádění a opravy nátěrů na kov, dřevo a jiné podklady</w:t>
      </w:r>
    </w:p>
    <w:p>
      <w:pPr>
        <w:pStyle w:val="P24"/>
        <w:framePr w:w="6713" w:h="376" w:hRule="exact" w:wrap="none" w:vAnchor="page" w:hAnchor="margin" w:x="45" w:y="10711"/>
        <w:rPr>
          <w:rStyle w:val="C3"/>
          <w:rtl w:val="0"/>
        </w:rPr>
      </w:pPr>
    </w:p>
    <w:p>
      <w:pPr>
        <w:pStyle w:val="P25"/>
        <w:framePr w:w="6661" w:h="249" w:hRule="exact" w:wrap="none" w:vAnchor="page" w:hAnchor="margin" w:x="71" w:y="10782"/>
        <w:rPr>
          <w:rStyle w:val="C19"/>
          <w:rtl w:val="0"/>
        </w:rPr>
      </w:pPr>
      <w:r>
        <w:rPr>
          <w:rStyle w:val="C19"/>
          <w:rtl w:val="0"/>
        </w:rPr>
        <w:t>Kritéria hodnocení</w:t>
      </w:r>
    </w:p>
    <w:p>
      <w:pPr>
        <w:pStyle w:val="P26"/>
        <w:framePr w:w="3918" w:h="376" w:hRule="exact" w:wrap="none" w:vAnchor="page" w:hAnchor="margin" w:x="6803" w:y="10711"/>
        <w:rPr>
          <w:rStyle w:val="C3"/>
          <w:rtl w:val="0"/>
        </w:rPr>
      </w:pPr>
    </w:p>
    <w:p>
      <w:pPr>
        <w:pStyle w:val="P27"/>
        <w:framePr w:w="3836" w:h="249" w:hRule="exact" w:wrap="none" w:vAnchor="page" w:hAnchor="margin" w:x="6859" w:y="10782"/>
        <w:rPr>
          <w:rStyle w:val="C20"/>
          <w:rtl w:val="0"/>
        </w:rPr>
      </w:pPr>
      <w:r>
        <w:rPr>
          <w:rStyle w:val="C20"/>
          <w:rtl w:val="0"/>
        </w:rPr>
        <w:t>Způsoby ověření</w:t>
      </w:r>
    </w:p>
    <w:p>
      <w:pPr>
        <w:pStyle w:val="P12"/>
        <w:framePr w:w="6710" w:h="376" w:hRule="exact" w:wrap="none" w:vAnchor="page" w:hAnchor="margin" w:x="45" w:y="11087"/>
        <w:rPr>
          <w:rStyle w:val="C3"/>
          <w:rtl w:val="0"/>
        </w:rPr>
      </w:pPr>
    </w:p>
    <w:p>
      <w:pPr>
        <w:pStyle w:val="P13"/>
        <w:framePr w:w="6658" w:h="249" w:hRule="exact" w:wrap="none" w:vAnchor="page" w:hAnchor="margin" w:x="71" w:y="11143"/>
        <w:rPr>
          <w:rStyle w:val="C11"/>
          <w:rtl w:val="0"/>
        </w:rPr>
      </w:pPr>
      <w:r>
        <w:rPr>
          <w:rStyle w:val="C11"/>
          <w:rtl w:val="0"/>
        </w:rPr>
        <w:t>a) Popsat způsoby provádění a oprav nátěrů</w:t>
      </w:r>
    </w:p>
    <w:p>
      <w:pPr>
        <w:pStyle w:val="P28"/>
        <w:framePr w:w="3921" w:h="376" w:hRule="exact" w:wrap="none" w:vAnchor="page" w:hAnchor="margin" w:x="6800" w:y="11087"/>
        <w:rPr>
          <w:rStyle w:val="C3"/>
          <w:rtl w:val="0"/>
        </w:rPr>
      </w:pPr>
    </w:p>
    <w:p>
      <w:pPr>
        <w:pStyle w:val="P29"/>
        <w:framePr w:w="3839" w:h="249" w:hRule="exact" w:wrap="none" w:vAnchor="page" w:hAnchor="margin" w:x="6856" w:y="11143"/>
        <w:rPr>
          <w:rStyle w:val="C21"/>
          <w:rtl w:val="0"/>
        </w:rPr>
      </w:pPr>
      <w:r>
        <w:rPr>
          <w:rStyle w:val="C21"/>
          <w:rtl w:val="0"/>
        </w:rPr>
        <w:t>Ústní ověření</w:t>
      </w:r>
    </w:p>
    <w:p>
      <w:pPr>
        <w:pStyle w:val="P16"/>
        <w:framePr w:w="6710" w:h="376" w:hRule="exact" w:wrap="none" w:vAnchor="page" w:hAnchor="margin" w:x="45" w:y="11463"/>
        <w:rPr>
          <w:rStyle w:val="C3"/>
          <w:rtl w:val="0"/>
        </w:rPr>
      </w:pPr>
    </w:p>
    <w:p>
      <w:pPr>
        <w:pStyle w:val="P17"/>
        <w:framePr w:w="6658" w:h="249" w:hRule="exact" w:wrap="none" w:vAnchor="page" w:hAnchor="margin" w:x="71" w:y="11519"/>
        <w:rPr>
          <w:rStyle w:val="C13"/>
          <w:rtl w:val="0"/>
        </w:rPr>
      </w:pPr>
      <w:r>
        <w:rPr>
          <w:rStyle w:val="C13"/>
          <w:rtl w:val="0"/>
        </w:rPr>
        <w:t>b) Popsat nářadí, pracovní pomůcky a zařízení pro provádění nátěrů</w:t>
      </w:r>
    </w:p>
    <w:p>
      <w:pPr>
        <w:pStyle w:val="P30"/>
        <w:framePr w:w="3921" w:h="376" w:hRule="exact" w:wrap="none" w:vAnchor="page" w:hAnchor="margin" w:x="6800" w:y="11463"/>
        <w:rPr>
          <w:rStyle w:val="C3"/>
          <w:rtl w:val="0"/>
        </w:rPr>
      </w:pPr>
    </w:p>
    <w:p>
      <w:pPr>
        <w:pStyle w:val="P31"/>
        <w:framePr w:w="3839" w:h="249" w:hRule="exact" w:wrap="none" w:vAnchor="page" w:hAnchor="margin" w:x="6856" w:y="11519"/>
        <w:rPr>
          <w:rStyle w:val="C22"/>
          <w:rtl w:val="0"/>
        </w:rPr>
      </w:pPr>
      <w:r>
        <w:rPr>
          <w:rStyle w:val="C22"/>
          <w:rtl w:val="0"/>
        </w:rPr>
        <w:t>Ústní ověření</w:t>
      </w:r>
    </w:p>
    <w:p>
      <w:pPr>
        <w:pStyle w:val="P12"/>
        <w:framePr w:w="6710" w:h="376" w:hRule="exact" w:wrap="none" w:vAnchor="page" w:hAnchor="margin" w:x="45" w:y="11839"/>
        <w:rPr>
          <w:rStyle w:val="C3"/>
          <w:rtl w:val="0"/>
        </w:rPr>
      </w:pPr>
    </w:p>
    <w:p>
      <w:pPr>
        <w:pStyle w:val="P13"/>
        <w:framePr w:w="6658" w:h="249" w:hRule="exact" w:wrap="none" w:vAnchor="page" w:hAnchor="margin" w:x="71" w:y="11895"/>
        <w:rPr>
          <w:rStyle w:val="C11"/>
          <w:rtl w:val="0"/>
        </w:rPr>
      </w:pPr>
      <w:r>
        <w:rPr>
          <w:rStyle w:val="C11"/>
          <w:rtl w:val="0"/>
        </w:rPr>
        <w:t>c) Popsat způsoby kontroly nátěrů a kontrolované parametry</w:t>
      </w:r>
    </w:p>
    <w:p>
      <w:pPr>
        <w:pStyle w:val="P28"/>
        <w:framePr w:w="3921" w:h="376" w:hRule="exact" w:wrap="none" w:vAnchor="page" w:hAnchor="margin" w:x="6800" w:y="11839"/>
        <w:rPr>
          <w:rStyle w:val="C3"/>
          <w:rtl w:val="0"/>
        </w:rPr>
      </w:pPr>
    </w:p>
    <w:p>
      <w:pPr>
        <w:pStyle w:val="P29"/>
        <w:framePr w:w="3839" w:h="249" w:hRule="exact" w:wrap="none" w:vAnchor="page" w:hAnchor="margin" w:x="6856" w:y="11895"/>
        <w:rPr>
          <w:rStyle w:val="C21"/>
          <w:rtl w:val="0"/>
        </w:rPr>
      </w:pPr>
      <w:r>
        <w:rPr>
          <w:rStyle w:val="C21"/>
          <w:rtl w:val="0"/>
        </w:rPr>
        <w:t>Ústní ověření</w:t>
      </w:r>
    </w:p>
    <w:p>
      <w:pPr>
        <w:pStyle w:val="P16"/>
        <w:framePr w:w="6710" w:h="376" w:hRule="exact" w:wrap="none" w:vAnchor="page" w:hAnchor="margin" w:x="45" w:y="12216"/>
        <w:rPr>
          <w:rStyle w:val="C3"/>
          <w:rtl w:val="0"/>
        </w:rPr>
      </w:pPr>
    </w:p>
    <w:p>
      <w:pPr>
        <w:pStyle w:val="P17"/>
        <w:framePr w:w="6658" w:h="249" w:hRule="exact" w:wrap="none" w:vAnchor="page" w:hAnchor="margin" w:x="71" w:y="12272"/>
        <w:rPr>
          <w:rStyle w:val="C13"/>
          <w:rtl w:val="0"/>
        </w:rPr>
      </w:pPr>
      <w:r>
        <w:rPr>
          <w:rStyle w:val="C13"/>
          <w:rtl w:val="0"/>
        </w:rPr>
        <w:t>d) Provést nátěr podle zadání</w:t>
      </w:r>
    </w:p>
    <w:p>
      <w:pPr>
        <w:pStyle w:val="P30"/>
        <w:framePr w:w="3921" w:h="376" w:hRule="exact" w:wrap="none" w:vAnchor="page" w:hAnchor="margin" w:x="6800" w:y="12216"/>
        <w:rPr>
          <w:rStyle w:val="C3"/>
          <w:rtl w:val="0"/>
        </w:rPr>
      </w:pPr>
    </w:p>
    <w:p>
      <w:pPr>
        <w:pStyle w:val="P31"/>
        <w:framePr w:w="3839" w:h="249" w:hRule="exact" w:wrap="none" w:vAnchor="page" w:hAnchor="margin" w:x="6856" w:y="12272"/>
        <w:rPr>
          <w:rStyle w:val="C22"/>
          <w:rtl w:val="0"/>
        </w:rPr>
      </w:pPr>
      <w:r>
        <w:rPr>
          <w:rStyle w:val="C22"/>
          <w:rtl w:val="0"/>
        </w:rPr>
        <w:t>Praktické předvedení a ústní ověření</w:t>
      </w:r>
    </w:p>
    <w:p>
      <w:pPr>
        <w:pStyle w:val="P12"/>
        <w:framePr w:w="6710" w:h="376" w:hRule="exact" w:wrap="none" w:vAnchor="page" w:hAnchor="margin" w:x="45" w:y="12592"/>
        <w:rPr>
          <w:rStyle w:val="C3"/>
          <w:rtl w:val="0"/>
        </w:rPr>
      </w:pPr>
    </w:p>
    <w:p>
      <w:pPr>
        <w:pStyle w:val="P13"/>
        <w:framePr w:w="6658" w:h="249" w:hRule="exact" w:wrap="none" w:vAnchor="page" w:hAnchor="margin" w:x="71" w:y="12648"/>
        <w:rPr>
          <w:rStyle w:val="C11"/>
          <w:rtl w:val="0"/>
        </w:rPr>
      </w:pPr>
      <w:r>
        <w:rPr>
          <w:rStyle w:val="C11"/>
          <w:rtl w:val="0"/>
        </w:rPr>
        <w:t>e) Opravit nátěr podle zadání</w:t>
      </w:r>
    </w:p>
    <w:p>
      <w:pPr>
        <w:pStyle w:val="P28"/>
        <w:framePr w:w="3921" w:h="376" w:hRule="exact" w:wrap="none" w:vAnchor="page" w:hAnchor="margin" w:x="6800" w:y="12592"/>
        <w:rPr>
          <w:rStyle w:val="C3"/>
          <w:rtl w:val="0"/>
        </w:rPr>
      </w:pPr>
    </w:p>
    <w:p>
      <w:pPr>
        <w:pStyle w:val="P29"/>
        <w:framePr w:w="3839" w:h="249" w:hRule="exact" w:wrap="none" w:vAnchor="page" w:hAnchor="margin" w:x="6856" w:y="12648"/>
        <w:rPr>
          <w:rStyle w:val="C21"/>
          <w:rtl w:val="0"/>
        </w:rPr>
      </w:pPr>
      <w:r>
        <w:rPr>
          <w:rStyle w:val="C21"/>
          <w:rtl w:val="0"/>
        </w:rPr>
        <w:t>Praktické předvedení a ústní ověření</w:t>
      </w:r>
    </w:p>
    <w:p>
      <w:pPr>
        <w:pStyle w:val="P16"/>
        <w:framePr w:w="6710" w:h="376" w:hRule="exact" w:wrap="none" w:vAnchor="page" w:hAnchor="margin" w:x="45" w:y="12968"/>
        <w:rPr>
          <w:rStyle w:val="C3"/>
          <w:rtl w:val="0"/>
        </w:rPr>
      </w:pPr>
    </w:p>
    <w:p>
      <w:pPr>
        <w:pStyle w:val="P17"/>
        <w:framePr w:w="6658" w:h="249" w:hRule="exact" w:wrap="none" w:vAnchor="page" w:hAnchor="margin" w:x="71" w:y="13024"/>
        <w:rPr>
          <w:rStyle w:val="C13"/>
          <w:rtl w:val="0"/>
        </w:rPr>
      </w:pPr>
      <w:r>
        <w:rPr>
          <w:rStyle w:val="C13"/>
          <w:rtl w:val="0"/>
        </w:rPr>
        <w:t>f) Kontrolovat kvalitu provedených prací</w:t>
      </w:r>
    </w:p>
    <w:p>
      <w:pPr>
        <w:pStyle w:val="P30"/>
        <w:framePr w:w="3921" w:h="376" w:hRule="exact" w:wrap="none" w:vAnchor="page" w:hAnchor="margin" w:x="6800" w:y="12968"/>
        <w:rPr>
          <w:rStyle w:val="C3"/>
          <w:rtl w:val="0"/>
        </w:rPr>
      </w:pPr>
    </w:p>
    <w:p>
      <w:pPr>
        <w:pStyle w:val="P31"/>
        <w:framePr w:w="3839" w:h="249" w:hRule="exact" w:wrap="none" w:vAnchor="page" w:hAnchor="margin" w:x="6856" w:y="13024"/>
        <w:rPr>
          <w:rStyle w:val="C22"/>
          <w:rtl w:val="0"/>
        </w:rPr>
      </w:pPr>
      <w:r>
        <w:rPr>
          <w:rStyle w:val="C22"/>
          <w:rtl w:val="0"/>
        </w:rPr>
        <w:t>Praktické předvedení a ústní ověření</w:t>
      </w:r>
    </w:p>
    <w:p>
      <w:pPr>
        <w:pStyle w:val="P32"/>
        <w:framePr w:w="10710" w:h="248" w:hRule="exact" w:wrap="none" w:vAnchor="page" w:hAnchor="margin" w:x="28" w:y="134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údržby a technického dozoru, 20.10.2026 7:36:57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Zajištění a koordinace outsourcovaných servisních zásahů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Zjistit z inventární karty majetku, jestli je předmět v záruční lhůtě; rozhodnout o záruční/pozáruční opravě poruchy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 případě záruční opravy zjistit dodavatele z inventární karty majetku; u dodavatele ověřit možnost provedení servisního zásahu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V případě pozáruční opravy zjistit vhodného dodavatele servisního zásahu vzhledem k nákladům, předchozím zkušenostem, referencím a dostupnosti; u nejvhodnějšího dodavatele ověřit možnost servisního zásahu</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Praktické předvedení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Zapsat servisní zásah do evidence servisních zásahů</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Praktické předvedení</w:t>
      </w:r>
    </w:p>
    <w:p>
      <w:pPr>
        <w:pStyle w:val="P32"/>
        <w:framePr w:w="10710" w:h="248" w:hRule="exact" w:wrap="none" w:vAnchor="page" w:hAnchor="margin" w:x="28" w:y="5504"/>
        <w:rPr>
          <w:rStyle w:val="C23"/>
          <w:rtl w:val="0"/>
        </w:rPr>
      </w:pPr>
      <w:r>
        <w:rPr>
          <w:rStyle w:val="C23"/>
          <w:rtl w:val="0"/>
        </w:rPr>
        <w:t>Je třeba splnit všechna kritéria.</w:t>
      </w:r>
    </w:p>
    <w:p>
      <w:pPr>
        <w:pStyle w:val="P23"/>
        <w:framePr w:w="10710" w:h="340" w:hRule="exact" w:wrap="none" w:vAnchor="page" w:hAnchor="margin" w:x="28" w:y="5940"/>
        <w:rPr>
          <w:rStyle w:val="C18"/>
          <w:rtl w:val="0"/>
        </w:rPr>
      </w:pPr>
      <w:r>
        <w:rPr>
          <w:rStyle w:val="C18"/>
          <w:rtl w:val="0"/>
        </w:rPr>
        <w:t>Vedení evidence revizí, servisních zásahů a oprav</w:t>
      </w:r>
    </w:p>
    <w:p>
      <w:pPr>
        <w:pStyle w:val="P24"/>
        <w:framePr w:w="6713" w:h="376" w:hRule="exact" w:wrap="none" w:vAnchor="page" w:hAnchor="margin" w:x="45" w:y="6379"/>
        <w:rPr>
          <w:rStyle w:val="C3"/>
          <w:rtl w:val="0"/>
        </w:rPr>
      </w:pPr>
    </w:p>
    <w:p>
      <w:pPr>
        <w:pStyle w:val="P25"/>
        <w:framePr w:w="6661" w:h="249" w:hRule="exact" w:wrap="none" w:vAnchor="page" w:hAnchor="margin" w:x="71" w:y="6450"/>
        <w:rPr>
          <w:rStyle w:val="C19"/>
          <w:rtl w:val="0"/>
        </w:rPr>
      </w:pPr>
      <w:r>
        <w:rPr>
          <w:rStyle w:val="C19"/>
          <w:rtl w:val="0"/>
        </w:rPr>
        <w:t>Kritéria hodnocení</w:t>
      </w:r>
    </w:p>
    <w:p>
      <w:pPr>
        <w:pStyle w:val="P26"/>
        <w:framePr w:w="3918" w:h="376" w:hRule="exact" w:wrap="none" w:vAnchor="page" w:hAnchor="margin" w:x="6803" w:y="6379"/>
        <w:rPr>
          <w:rStyle w:val="C3"/>
          <w:rtl w:val="0"/>
        </w:rPr>
      </w:pPr>
    </w:p>
    <w:p>
      <w:pPr>
        <w:pStyle w:val="P27"/>
        <w:framePr w:w="3836" w:h="249" w:hRule="exact" w:wrap="none" w:vAnchor="page" w:hAnchor="margin" w:x="6859" w:y="6450"/>
        <w:rPr>
          <w:rStyle w:val="C20"/>
          <w:rtl w:val="0"/>
        </w:rPr>
      </w:pPr>
      <w:r>
        <w:rPr>
          <w:rStyle w:val="C20"/>
          <w:rtl w:val="0"/>
        </w:rPr>
        <w:t>Způsoby ověření</w:t>
      </w:r>
    </w:p>
    <w:p>
      <w:pPr>
        <w:pStyle w:val="P12"/>
        <w:framePr w:w="6710" w:h="376" w:hRule="exact" w:wrap="none" w:vAnchor="page" w:hAnchor="margin" w:x="45" w:y="6755"/>
        <w:rPr>
          <w:rStyle w:val="C3"/>
          <w:rtl w:val="0"/>
        </w:rPr>
      </w:pPr>
    </w:p>
    <w:p>
      <w:pPr>
        <w:pStyle w:val="P13"/>
        <w:framePr w:w="6658" w:h="249" w:hRule="exact" w:wrap="none" w:vAnchor="page" w:hAnchor="margin" w:x="71" w:y="6811"/>
        <w:rPr>
          <w:rStyle w:val="C11"/>
          <w:rtl w:val="0"/>
        </w:rPr>
      </w:pPr>
      <w:r>
        <w:rPr>
          <w:rStyle w:val="C11"/>
          <w:rtl w:val="0"/>
        </w:rPr>
        <w:t>a) Specifikovat předepsané revize a servisní zásahy</w:t>
      </w:r>
    </w:p>
    <w:p>
      <w:pPr>
        <w:pStyle w:val="P28"/>
        <w:framePr w:w="3921" w:h="376" w:hRule="exact" w:wrap="none" w:vAnchor="page" w:hAnchor="margin" w:x="6800" w:y="6755"/>
        <w:rPr>
          <w:rStyle w:val="C3"/>
          <w:rtl w:val="0"/>
        </w:rPr>
      </w:pPr>
    </w:p>
    <w:p>
      <w:pPr>
        <w:pStyle w:val="P29"/>
        <w:framePr w:w="3839" w:h="249" w:hRule="exact" w:wrap="none" w:vAnchor="page" w:hAnchor="margin" w:x="6856" w:y="6811"/>
        <w:rPr>
          <w:rStyle w:val="C21"/>
          <w:rtl w:val="0"/>
        </w:rPr>
      </w:pPr>
      <w:r>
        <w:rPr>
          <w:rStyle w:val="C21"/>
          <w:rtl w:val="0"/>
        </w:rPr>
        <w:t>Ústní ověření</w:t>
      </w:r>
    </w:p>
    <w:p>
      <w:pPr>
        <w:pStyle w:val="P16"/>
        <w:framePr w:w="6710" w:h="376" w:hRule="exact" w:wrap="none" w:vAnchor="page" w:hAnchor="margin" w:x="45" w:y="7131"/>
        <w:rPr>
          <w:rStyle w:val="C3"/>
          <w:rtl w:val="0"/>
        </w:rPr>
      </w:pPr>
    </w:p>
    <w:p>
      <w:pPr>
        <w:pStyle w:val="P17"/>
        <w:framePr w:w="6658" w:h="249" w:hRule="exact" w:wrap="none" w:vAnchor="page" w:hAnchor="margin" w:x="71" w:y="7187"/>
        <w:rPr>
          <w:rStyle w:val="C13"/>
          <w:rtl w:val="0"/>
        </w:rPr>
      </w:pPr>
      <w:r>
        <w:rPr>
          <w:rStyle w:val="C13"/>
          <w:rtl w:val="0"/>
        </w:rPr>
        <w:t>b) Založit v tabulkovém procesoru evidenci revizí a servisních zásahů</w:t>
      </w:r>
    </w:p>
    <w:p>
      <w:pPr>
        <w:pStyle w:val="P30"/>
        <w:framePr w:w="3921" w:h="376" w:hRule="exact" w:wrap="none" w:vAnchor="page" w:hAnchor="margin" w:x="6800" w:y="7131"/>
        <w:rPr>
          <w:rStyle w:val="C3"/>
          <w:rtl w:val="0"/>
        </w:rPr>
      </w:pPr>
    </w:p>
    <w:p>
      <w:pPr>
        <w:pStyle w:val="P31"/>
        <w:framePr w:w="3839" w:h="249" w:hRule="exact" w:wrap="none" w:vAnchor="page" w:hAnchor="margin" w:x="6856" w:y="7187"/>
        <w:rPr>
          <w:rStyle w:val="C22"/>
          <w:rtl w:val="0"/>
        </w:rPr>
      </w:pPr>
      <w:r>
        <w:rPr>
          <w:rStyle w:val="C22"/>
          <w:rtl w:val="0"/>
        </w:rPr>
        <w:t>Praktické předvedení</w:t>
      </w:r>
    </w:p>
    <w:p>
      <w:pPr>
        <w:pStyle w:val="P12"/>
        <w:framePr w:w="6710" w:h="376" w:hRule="exact" w:wrap="none" w:vAnchor="page" w:hAnchor="margin" w:x="45" w:y="7508"/>
        <w:rPr>
          <w:rStyle w:val="C3"/>
          <w:rtl w:val="0"/>
        </w:rPr>
      </w:pPr>
    </w:p>
    <w:p>
      <w:pPr>
        <w:pStyle w:val="P13"/>
        <w:framePr w:w="6658" w:h="249" w:hRule="exact" w:wrap="none" w:vAnchor="page" w:hAnchor="margin" w:x="71" w:y="7564"/>
        <w:rPr>
          <w:rStyle w:val="C11"/>
          <w:rtl w:val="0"/>
        </w:rPr>
      </w:pPr>
      <w:r>
        <w:rPr>
          <w:rStyle w:val="C11"/>
          <w:rtl w:val="0"/>
        </w:rPr>
        <w:t>c) Provést zápis do servisní knihy</w:t>
      </w:r>
    </w:p>
    <w:p>
      <w:pPr>
        <w:pStyle w:val="P28"/>
        <w:framePr w:w="3921" w:h="376" w:hRule="exact" w:wrap="none" w:vAnchor="page" w:hAnchor="margin" w:x="6800" w:y="7508"/>
        <w:rPr>
          <w:rStyle w:val="C3"/>
          <w:rtl w:val="0"/>
        </w:rPr>
      </w:pPr>
    </w:p>
    <w:p>
      <w:pPr>
        <w:pStyle w:val="P29"/>
        <w:framePr w:w="3839" w:h="249" w:hRule="exact" w:wrap="none" w:vAnchor="page" w:hAnchor="margin" w:x="6856" w:y="7564"/>
        <w:rPr>
          <w:rStyle w:val="C21"/>
          <w:rtl w:val="0"/>
        </w:rPr>
      </w:pPr>
      <w:r>
        <w:rPr>
          <w:rStyle w:val="C21"/>
          <w:rtl w:val="0"/>
        </w:rPr>
        <w:t>Praktické předvedení</w:t>
      </w:r>
    </w:p>
    <w:p>
      <w:pPr>
        <w:pStyle w:val="P32"/>
        <w:framePr w:w="10710" w:h="248" w:hRule="exact" w:wrap="none" w:vAnchor="page" w:hAnchor="margin" w:x="28" w:y="799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údržby a technického dozoru, 20.10.2026 7:36:57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39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je vyžadována a prokazuje se lékařským potvrzením (odkaz na povolání v NSP -</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"https://www.nsp.cz/jednotka-prace/pracovnik-udrzby-a-techni"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https://www.nsp.cz/jednotka-prace/pracovnik-udrzby-a-techni#zdravotni-zpusobilost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single"/>
          <w:shd w:val="clear" w:color="auto" w:fill="auto"/>
          <w:vertAlign w:val="baseline"/>
          <w:lang/>
        </w:rPr>
        <w:t>Zkouška probíhá následujícím způsobem:</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Den 1.</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271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Nanášení omítek a finální povrchové úpravy stavebních ploch:</w:t>
      </w:r>
      <w:r>
        <w:rPr>
          <w:rFonts w:ascii="Arial" w:cs="Arial" w:hAnsi="Arial" w:eastAsia="Arial"/>
          <w:b w:val="0"/>
          <w:i w:val="0"/>
          <w:caps w:val="0"/>
          <w:strike w:val="0"/>
          <w:noProof w:val="0"/>
          <w:vanish w:val="0"/>
          <w:color w:val="auto"/>
          <w:sz w:val="20"/>
          <w:u w:val="none"/>
          <w:shd w:val="clear" w:color="auto" w:fill="auto"/>
          <w:vertAlign w:val="baseline"/>
          <w:lang/>
        </w:rPr>
        <w:t xml:space="preserve"> zkoušející ověří veškeré teoretické znalosti v rámci kompetence. Na níže specifikovaném pracovišti provede uchazeč veškeré úkony vedoucí k úspěšnému nánosu omítky (tj. příprava podkladu - odstranění přesahujícího zdiva a očištění zdiva od nečistot, namíchání omítkové směsi, nanesení omítky, příprava štukovací směsi, štukování, kontrola rovnosti). Uchazeč u zkoušky omítne a naštukuje dva kusy neomítnuté zdi o rozměrech 2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2715"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Provádění a opravy nátěrů na kov, dřevo a jiné podklady:</w:t>
      </w:r>
      <w:r>
        <w:rPr>
          <w:rFonts w:ascii="Arial" w:cs="Arial" w:hAnsi="Arial" w:eastAsia="Arial"/>
          <w:b w:val="0"/>
          <w:i w:val="0"/>
          <w:caps w:val="0"/>
          <w:strike w:val="0"/>
          <w:noProof w:val="0"/>
          <w:vanish w:val="0"/>
          <w:color w:val="auto"/>
          <w:sz w:val="20"/>
          <w:u w:val="none"/>
          <w:shd w:val="clear" w:color="auto" w:fill="auto"/>
          <w:vertAlign w:val="baseline"/>
          <w:lang/>
        </w:rPr>
        <w:t xml:space="preserve"> Zkoušející ověří veškeré teoretické znalosti v rámci kompetence. Na níže specifikovaném pracovišti provede uchazeč veškeré úkony vedoucí k novému nátěru dřevěného předmětu (např. výplně zábradlí) a úkony vedoucí k opravě nátěru kovového předmětu (např. konstrukce zábradlí) o rozměru 1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Den 2.</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2715" w:hRule="exact" w:wrap="none" w:vAnchor="page" w:hAnchor="margin" w:x="0" w:y="28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Nanášení malířských nátěrů štětkou, štětcem a válečkem:</w:t>
      </w:r>
      <w:r>
        <w:rPr>
          <w:rFonts w:ascii="Arial" w:cs="Arial" w:hAnsi="Arial" w:eastAsia="Arial"/>
          <w:b w:val="0"/>
          <w:i w:val="0"/>
          <w:caps w:val="0"/>
          <w:strike w:val="0"/>
          <w:noProof w:val="0"/>
          <w:vanish w:val="0"/>
          <w:color w:val="auto"/>
          <w:sz w:val="20"/>
          <w:u w:val="none"/>
          <w:shd w:val="clear" w:color="auto" w:fill="auto"/>
          <w:vertAlign w:val="baseline"/>
          <w:lang/>
        </w:rPr>
        <w:t xml:space="preserve"> Zkoušející ověří veškeré teoretické znalosti v rámci kompetence. Na stejném pracovišti, jako v případě zkoušení kompetence (</w:t>
      </w:r>
      <w:r>
        <w:rPr>
          <w:rFonts w:ascii="Arial" w:cs="Arial" w:hAnsi="Arial" w:eastAsia="Arial"/>
          <w:b w:val="0"/>
          <w:i w:val="1"/>
          <w:caps w:val="0"/>
          <w:strike w:val="0"/>
          <w:noProof w:val="0"/>
          <w:vanish w:val="0"/>
          <w:color w:val="auto"/>
          <w:sz w:val="20"/>
          <w:u w:val="none"/>
          <w:shd w:val="clear" w:color="auto" w:fill="auto"/>
          <w:vertAlign w:val="baseline"/>
          <w:lang/>
        </w:rPr>
        <w:t>Nanášení omítek a finální povrchové úpravy stavebních ploch)</w:t>
      </w:r>
      <w:r>
        <w:rPr>
          <w:rFonts w:ascii="Arial" w:cs="Arial" w:hAnsi="Arial" w:eastAsia="Arial"/>
          <w:b w:val="0"/>
          <w:i w:val="0"/>
          <w:caps w:val="0"/>
          <w:strike w:val="0"/>
          <w:noProof w:val="0"/>
          <w:vanish w:val="0"/>
          <w:color w:val="auto"/>
          <w:sz w:val="20"/>
          <w:u w:val="none"/>
          <w:shd w:val="clear" w:color="auto" w:fill="auto"/>
          <w:vertAlign w:val="baseline"/>
          <w:lang/>
        </w:rPr>
        <w:t>, provede uchazeč veškeré úkony vedoucí k úspěšnému nátěru omítnuté části (tj. namíchání barvy, příprava podkladu - odstranění nečistot a nanesení penetrace, nanesení nátěru). Uchazeč při zkoušce připraví a nanese nátěrovou hmotu na omítnuté a naštukované části zdi o rozměru 2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2715" w:hRule="exact" w:wrap="none" w:vAnchor="page" w:hAnchor="margin" w:x="0" w:y="2835"/>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Vedení evidence revizí, servisních zásahů a oprav:</w:t>
      </w:r>
      <w:r>
        <w:rPr>
          <w:rFonts w:ascii="Arial" w:cs="Arial" w:hAnsi="Arial" w:eastAsia="Arial"/>
          <w:b w:val="0"/>
          <w:i w:val="0"/>
          <w:caps w:val="0"/>
          <w:strike w:val="0"/>
          <w:noProof w:val="0"/>
          <w:vanish w:val="0"/>
          <w:color w:val="auto"/>
          <w:sz w:val="20"/>
          <w:u w:val="none"/>
          <w:shd w:val="clear" w:color="auto" w:fill="auto"/>
          <w:vertAlign w:val="baseline"/>
          <w:lang/>
        </w:rPr>
        <w:t xml:space="preserve"> Zkoušející ověří znalost metrik servisních zásahů: datum zadání, stav (hotovo, nezahájeno, probíhá), datum a čas zahájení prací, datum a čas ukončení prací, popis prováděné práce, použitý materiál, náklady na materiál, počet hodin strávených úkolem, vykonavatel (interní/externí), cena za úkon (v případě externího vykonavatele). Na PC vytvoří tabulku, obsahující výše zmíněné metriky. Provede zkušební zápisy pro všechny provedené praktické zkoušky (běžné nahazování, omítání a štukování stavebních ploch; provádění malířských nátěrů; provádění laků a nátěrů na kov a dřevo)</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2715" w:hRule="exact" w:wrap="none" w:vAnchor="page" w:hAnchor="margin" w:x="0" w:y="2835"/>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Zajištění a koordinace outsourcovaných servisních zásahů:</w:t>
      </w:r>
      <w:r>
        <w:rPr>
          <w:rFonts w:ascii="Arial" w:cs="Arial" w:hAnsi="Arial" w:eastAsia="Arial"/>
          <w:b w:val="0"/>
          <w:i w:val="0"/>
          <w:caps w:val="0"/>
          <w:strike w:val="0"/>
          <w:noProof w:val="0"/>
          <w:vanish w:val="0"/>
          <w:color w:val="auto"/>
          <w:sz w:val="20"/>
          <w:u w:val="none"/>
          <w:shd w:val="clear" w:color="auto" w:fill="auto"/>
          <w:vertAlign w:val="baseline"/>
          <w:lang/>
        </w:rPr>
        <w:t xml:space="preserve"> Zkoušející předá uchazeči inventární kartu majetku (typického pro maloobchodní provoz, např. podlahový mycí stroj) a popis závady (lze použít i imaginární). Úkolem uchazeče je zjistit, zda je možné žádat o záruční servis, nebo je nutné využít pozáručního servisu. V případě záručního servisu zjistí časové možnosti dodavatele a zapíše do evidence servisních zásahů a oprav. V případě pozáručního servisu zjistí na internetu nejvhodnější servisní společnost (tj. s nejlepšími referencemi, nejkratší vzdáleností a nejnižšími náklady na opravu), zjistí časové možnosti dodavatele a zapíše do evidence servisních zásahů a oprav.</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Den 1. a 2. od sebe dělí minimálně 10 dní a to z technologických důvodů (tuhnutí omítkové směsi před následným nátěrem).</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Dále je nutno sledovat samostatnost rozhodování a schopnost zvolit nejvhonější řešení vzhledem k řešenému úkonu. Při provádění praktických zkoušek je potřeba klást důraz na bezpečné provádění všech úkonů.</w:t>
      </w:r>
    </w:p>
    <w:p>
      <w:pPr>
        <w:pStyle w:val="P21"/>
        <w:framePr w:w="7654" w:h="331" w:hRule="exact" w:wrap="none" w:vAnchor="page" w:hAnchor="margin" w:x="28" w:y="15940"/>
        <w:rPr>
          <w:rStyle w:val="C16"/>
          <w:rtl w:val="0"/>
        </w:rPr>
      </w:pPr>
      <w:r>
        <w:rPr>
          <w:rStyle w:val="C16"/>
          <w:rtl w:val="0"/>
        </w:rPr>
        <w:t>Pracovník/pracovnice údržby a technického dozoru, 20.10.2026 7:36:57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4382"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383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alepsoň jednu z následujících variant:</w:t>
      </w:r>
    </w:p>
    <w:p>
      <w:pPr>
        <w:keepNext w:val="0"/>
        <w:keepLines w:val="0"/>
        <w:framePr w:w="10766" w:h="383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3835" w:hRule="exact" w:wrap="none" w:vAnchor="page" w:hAnchor="margin" w:x="0" w:y="6369"/>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zedník (36-67-H/01) nebo malíř a lakýrník (39-41-H/01) a praxí v oboru údržby a technického dozoru minimálně pět let. </w:t>
      </w:r>
    </w:p>
    <w:p>
      <w:pPr>
        <w:keepNext w:val="0"/>
        <w:keepLines w:val="1"/>
        <w:framePr w:w="10766" w:h="3835" w:hRule="exact" w:wrap="none" w:vAnchor="page" w:hAnchor="margin" w:x="0" w:y="6369"/>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technickém oboru a alespoň 5 let odborné praxe v oblasti údržby a technického dozoru. </w:t>
      </w:r>
    </w:p>
    <w:p>
      <w:pPr>
        <w:keepNext w:val="0"/>
        <w:keepLines w:val="0"/>
        <w:framePr w:w="10766" w:h="383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383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Pracovník/pracovnice údržby a technického dozoru, 20.10.2026 7:36:57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5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3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je třeba mít k dispozici minimálně následující materiálně-technické zázemí včetně příslušného vybavení:</w:t>
      </w:r>
    </w:p>
    <w:p>
      <w:pPr>
        <w:keepNext w:val="0"/>
        <w:keepLines w:val="1"/>
        <w:framePr w:w="10766" w:h="7315" w:hRule="exact" w:wrap="none" w:vAnchor="page" w:hAnchor="margin" w:x="0" w:y="2494"/>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s PC, umožňující práci v tabulkovém procesoru a internetovém prohlížeči - kompetence Zajištění a koordinace outsourcovaných servisních zásahů a Vedení evidence revizí, servisních zásahů a oprav</w:t>
      </w:r>
    </w:p>
    <w:p>
      <w:pPr>
        <w:keepNext w:val="0"/>
        <w:keepLines w:val="1"/>
        <w:framePr w:w="10766" w:h="7315" w:hRule="exact" w:wrap="none" w:vAnchor="page" w:hAnchor="margin" w:x="0" w:y="2494"/>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pro provádění zednických, omítkářských prací a nanášení malířských nátěrů - kompetence Nanášení omítek a finální povrchové úpravy stavebních ploch a Nanášení malířských nátěrů štětkou, štětcem a válečkem.</w:t>
      </w:r>
    </w:p>
    <w:p>
      <w:pPr>
        <w:keepNext w:val="0"/>
        <w:keepLines w:val="1"/>
        <w:framePr w:w="10766" w:h="7315" w:hRule="exact" w:wrap="none" w:vAnchor="page" w:hAnchor="margin" w:x="0" w:y="2494"/>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•Dva kusy neomítnuté zdi o rozměrech 2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1"/>
        <w:framePr w:w="10766" w:h="7315" w:hRule="exact" w:wrap="none" w:vAnchor="page" w:hAnchor="margin" w:x="0" w:y="2494"/>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pro přípravu a provádění laků a nátěrů na kov a dřevo - kompetence Provádění a opravy nátěrů na kov, dřevo a jiné podklady. Mělo by jít o předmět skládající se ze dřeva a kovu (např. železné zábradlí s dřevěnou výplní)</w:t>
      </w:r>
    </w:p>
    <w:p>
      <w:pPr>
        <w:keepNext w:val="0"/>
        <w:keepLines w:val="1"/>
        <w:framePr w:w="10766" w:h="7315" w:hRule="exact" w:wrap="none" w:vAnchor="page" w:hAnchor="margin" w:x="0" w:y="2494"/>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•Požadované vybavení: </w:t>
      </w:r>
    </w:p>
    <w:p>
      <w:pPr>
        <w:keepNext w:val="0"/>
        <w:keepLines w:val="1"/>
        <w:framePr w:w="10766" w:h="7315" w:hRule="exact" w:wrap="none" w:vAnchor="page" w:hAnchor="margin" w:x="0" w:y="2494"/>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•zednická lžíce, špachtle, stavební plastové vědro 16 litrů nebo větší, míchadlo stavebních směsí nebo vrtačka s nástrojem pro míchání stavebních směsí, hladítko, stěrka, stahovací lišta nebo deska, vodní váha</w:t>
      </w:r>
    </w:p>
    <w:p>
      <w:pPr>
        <w:keepNext w:val="0"/>
        <w:keepLines w:val="1"/>
        <w:framePr w:w="10766" w:h="7315" w:hRule="exact" w:wrap="none" w:vAnchor="page" w:hAnchor="margin" w:x="0" w:y="2494"/>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•malířský váleček, štětce alespoň tří různých velikostí, štětka, maskovací páska, malířský kbelík, mřížka pro váleček</w:t>
      </w:r>
    </w:p>
    <w:p>
      <w:pPr>
        <w:keepNext w:val="0"/>
        <w:keepLines w:val="1"/>
        <w:framePr w:w="10766" w:h="7315" w:hRule="exact" w:wrap="none" w:vAnchor="page" w:hAnchor="margin" w:x="0" w:y="2494"/>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•ocelový kartáč, pilník, smirkový papír minimálně tří různých drsností, štětce minimálně dvou velikostí</w:t>
      </w:r>
    </w:p>
    <w:p>
      <w:pPr>
        <w:keepNext w:val="0"/>
        <w:keepLines w:val="1"/>
        <w:framePr w:w="10766" w:h="7315" w:hRule="exact" w:wrap="none" w:vAnchor="page" w:hAnchor="margin" w:x="0" w:y="2494"/>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•inventární karta majetku, obsahující informaci o výrobci, typu, dadavateli, datum nákupu a délku záruky</w:t>
      </w:r>
    </w:p>
    <w:p>
      <w:pPr>
        <w:keepNext w:val="0"/>
        <w:keepLines w:val="1"/>
        <w:framePr w:w="10766" w:h="7315" w:hRule="exact" w:wrap="none" w:vAnchor="page" w:hAnchor="margin" w:x="0" w:y="2494"/>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BOZP</w:t>
      </w:r>
    </w:p>
    <w:p>
      <w:pPr>
        <w:keepNext w:val="0"/>
        <w:keepLines w:val="1"/>
        <w:framePr w:w="10766" w:h="7315" w:hRule="exact" w:wrap="none" w:vAnchor="page" w:hAnchor="margin" w:x="0" w:y="2494"/>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•Požadovaný materiál:</w:t>
      </w:r>
    </w:p>
    <w:p>
      <w:pPr>
        <w:keepNext w:val="0"/>
        <w:keepLines w:val="1"/>
        <w:framePr w:w="10766" w:h="7315" w:hRule="exact" w:wrap="none" w:vAnchor="page" w:hAnchor="margin" w:x="0" w:y="2494"/>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•voda, omítková směs, štukovací směs</w:t>
      </w:r>
    </w:p>
    <w:p>
      <w:pPr>
        <w:keepNext w:val="0"/>
        <w:keepLines w:val="1"/>
        <w:framePr w:w="10766" w:h="7315" w:hRule="exact" w:wrap="none" w:vAnchor="page" w:hAnchor="margin" w:x="0" w:y="2494"/>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•tekutá malba - nátěrová barva, penetrace</w:t>
      </w:r>
    </w:p>
    <w:p>
      <w:pPr>
        <w:keepNext w:val="0"/>
        <w:keepLines w:val="1"/>
        <w:framePr w:w="10766" w:h="7315" w:hRule="exact" w:wrap="none" w:vAnchor="page" w:hAnchor="margin" w:x="0" w:y="2494"/>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•barva na kov, barva na dřevo, ředidlo</w:t>
      </w:r>
    </w:p>
    <w:p>
      <w:pPr>
        <w:keepNext w:val="0"/>
        <w:keepLines w:val="0"/>
        <w:framePr w:w="10766" w:h="73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uskutečnění zkoušky z hlediska BOZP odpovídaly bezpečnostním požadavkům a hygienickým limitům na pracovní prostředí a pracoviště.</w:t>
      </w:r>
    </w:p>
    <w:p>
      <w:pPr>
        <w:keepNext w:val="0"/>
        <w:keepLines w:val="0"/>
        <w:framePr w:w="10766" w:h="73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036"/>
        <w:rPr>
          <w:rStyle w:val="C3"/>
          <w:rtl w:val="0"/>
        </w:rPr>
      </w:pPr>
    </w:p>
    <w:p>
      <w:pPr>
        <w:pStyle w:val="P35"/>
        <w:framePr w:w="10710" w:h="340" w:hRule="exact" w:wrap="none" w:vAnchor="page" w:hAnchor="margin" w:x="28" w:y="10036"/>
        <w:rPr>
          <w:rStyle w:val="C25"/>
          <w:rtl w:val="0"/>
        </w:rPr>
      </w:pPr>
      <w:r>
        <w:rPr>
          <w:rStyle w:val="C25"/>
          <w:rtl w:val="0"/>
        </w:rPr>
        <w:t>Doba přípravy na zkoušku</w:t>
      </w:r>
    </w:p>
    <w:p>
      <w:pPr>
        <w:keepNext w:val="0"/>
        <w:keepLines w:val="0"/>
        <w:framePr w:w="10766" w:h="806" w:hRule="exact" w:wrap="none" w:vAnchor="page" w:hAnchor="margin" w:x="0" w:y="103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1409"/>
        <w:rPr>
          <w:rStyle w:val="C3"/>
          <w:rtl w:val="0"/>
        </w:rPr>
      </w:pPr>
    </w:p>
    <w:p>
      <w:pPr>
        <w:pStyle w:val="P35"/>
        <w:framePr w:w="10710" w:h="340" w:hRule="exact" w:wrap="none" w:vAnchor="page" w:hAnchor="margin" w:x="28" w:y="11409"/>
        <w:rPr>
          <w:rStyle w:val="C25"/>
          <w:rtl w:val="0"/>
        </w:rPr>
      </w:pPr>
      <w:r>
        <w:rPr>
          <w:rStyle w:val="C25"/>
          <w:rtl w:val="0"/>
        </w:rPr>
        <w:t>Doba pro vykonání zkoušky</w:t>
      </w:r>
    </w:p>
    <w:p>
      <w:pPr>
        <w:keepNext w:val="0"/>
        <w:keepLines w:val="0"/>
        <w:framePr w:w="10766" w:h="806" w:hRule="exact" w:wrap="none" w:vAnchor="page" w:hAnchor="margin" w:x="0" w:y="117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6 až 8 hodin (hodinou se rozumí 60 minut). </w:t>
      </w:r>
    </w:p>
    <w:p>
      <w:pPr>
        <w:pStyle w:val="P21"/>
        <w:framePr w:w="7654" w:h="331" w:hRule="exact" w:wrap="none" w:vAnchor="page" w:hAnchor="margin" w:x="28" w:y="15940"/>
        <w:rPr>
          <w:rStyle w:val="C16"/>
          <w:rtl w:val="0"/>
        </w:rPr>
      </w:pPr>
      <w:r>
        <w:rPr>
          <w:rStyle w:val="C16"/>
          <w:rtl w:val="0"/>
        </w:rPr>
        <w:t>Pracovník/pracovnice údržby a technického dozoru, 20.10.2026 7:36:57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obchod a marketing,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Maloobchodní síť BRNĚNKA, spol. s r. o.</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PRAMEN-BRNĚNKA, spol. s r. o.</w:t>
      </w:r>
    </w:p>
    <w:p>
      <w:pPr>
        <w:pStyle w:val="P21"/>
        <w:framePr w:w="7654" w:h="331" w:hRule="exact" w:wrap="none" w:vAnchor="page" w:hAnchor="margin" w:x="28" w:y="15940"/>
        <w:rPr>
          <w:rStyle w:val="C16"/>
          <w:rtl w:val="0"/>
        </w:rPr>
      </w:pPr>
      <w:r>
        <w:rPr>
          <w:rStyle w:val="C16"/>
          <w:rtl w:val="0"/>
        </w:rPr>
        <w:t>Pracovník/pracovnice údržby a technického dozoru, 20.10.2026 7:36:57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DD9D5F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BADB36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2D938D8"/>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026B68EC"/>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58CA549E"/>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abstractNum w:abstractNumId="5">
    <w:nsid w:val="701A0180"/>
    <w:multiLevelType w:val="hybridMultilevel"/>
    <w:lvl w:ilvl="0" w:tplc="0000012D">
      <w:start w:val="1"/>
      <w:numFmt w:val="lowerLetter"/>
      <w:suff w:val="tab"/>
      <w:lvlText w:val="%1)"/>
      <w:lvlJc w:val="left"/>
      <w:pPr>
        <w:widowControl w:val="0"/>
        <w:ind w:hanging="360" w:left="360"/>
      </w:pPr>
      <w:rPr>
        <w:rFonts w:ascii="Arial" w:cs="Arial" w:hAnsi="Arial" w:eastAsia="Arial"/>
      </w:rPr>
    </w:lvl>
    <w:lvl w:ilvl="1" w:tplc="0000012E">
      <w:start w:val="1"/>
      <w:numFmt w:val="decimal"/>
      <w:suff w:val="tab"/>
      <w:lvlText w:val="%2)"/>
      <w:lvlJc w:val="left"/>
      <w:pPr>
        <w:widowControl w:val="0"/>
        <w:ind w:hanging="360" w:left="720"/>
      </w:pPr>
      <w:rPr>
        <w:rFonts w:ascii="Arial" w:cs="Arial" w:hAnsi="Arial" w:eastAsia="Arial"/>
      </w:rPr>
    </w:lvl>
    <w:lvl w:ilvl="2" w:tplc="0000012F">
      <w:start w:val="1"/>
      <w:numFmt w:val="decimal"/>
      <w:suff w:val="tab"/>
      <w:lvlText w:val="%3)"/>
      <w:lvlJc w:val="left"/>
      <w:pPr>
        <w:widowControl w:val="0"/>
        <w:ind w:hanging="360" w:left="1080"/>
      </w:pPr>
      <w:rPr>
        <w:rFonts w:ascii="Arial" w:cs="Arial" w:hAnsi="Arial" w:eastAsia="Arial"/>
      </w:rPr>
    </w:lvl>
    <w:lvl w:ilvl="3" w:tplc="00000130">
      <w:start w:val="1"/>
      <w:numFmt w:val="decimal"/>
      <w:suff w:val="tab"/>
      <w:lvlText w:val="%4)"/>
      <w:lvlJc w:val="left"/>
      <w:pPr>
        <w:widowControl w:val="0"/>
        <w:ind w:hanging="360" w:left="1440"/>
      </w:pPr>
      <w:rPr>
        <w:rFonts w:ascii="Arial" w:cs="Arial" w:hAnsi="Arial" w:eastAsia="Arial"/>
      </w:rPr>
    </w:lvl>
    <w:lvl w:ilvl="4" w:tplc="00000131">
      <w:start w:val="1"/>
      <w:numFmt w:val="decimal"/>
      <w:suff w:val="tab"/>
      <w:lvlText w:val="%5)"/>
      <w:lvlJc w:val="left"/>
      <w:pPr>
        <w:widowControl w:val="0"/>
        <w:ind w:hanging="360" w:left="1800"/>
      </w:pPr>
      <w:rPr>
        <w:rFonts w:ascii="Arial" w:cs="Arial" w:hAnsi="Arial" w:eastAsia="Arial"/>
      </w:rPr>
    </w:lvl>
    <w:lvl w:ilvl="5" w:tplc="00000132">
      <w:start w:val="1"/>
      <w:numFmt w:val="decimal"/>
      <w:suff w:val="tab"/>
      <w:lvlText w:val="%6)"/>
      <w:lvlJc w:val="left"/>
      <w:pPr>
        <w:widowControl w:val="0"/>
        <w:ind w:hanging="360" w:left="2160"/>
      </w:pPr>
      <w:rPr>
        <w:rFonts w:ascii="Arial" w:cs="Arial" w:hAnsi="Arial" w:eastAsia="Arial"/>
      </w:rPr>
    </w:lvl>
    <w:lvl w:ilvl="6" w:tplc="00000133">
      <w:start w:val="1"/>
      <w:numFmt w:val="decimal"/>
      <w:suff w:val="tab"/>
      <w:lvlText w:val="%7)"/>
      <w:lvlJc w:val="left"/>
      <w:pPr>
        <w:widowControl w:val="0"/>
        <w:ind w:hanging="360" w:left="2520"/>
      </w:pPr>
      <w:rPr>
        <w:rFonts w:ascii="Arial" w:cs="Arial" w:hAnsi="Arial" w:eastAsia="Arial"/>
      </w:rPr>
    </w:lvl>
    <w:lvl w:ilvl="7" w:tplc="00000134">
      <w:start w:val="1"/>
      <w:numFmt w:val="decimal"/>
      <w:suff w:val="tab"/>
      <w:lvlText w:val="%8)"/>
      <w:lvlJc w:val="left"/>
      <w:pPr>
        <w:widowControl w:val="0"/>
        <w:ind w:hanging="360" w:left="2880"/>
      </w:pPr>
      <w:rPr>
        <w:rFonts w:ascii="Arial" w:cs="Arial" w:hAnsi="Arial" w:eastAsia="Arial"/>
      </w:rPr>
    </w:lvl>
    <w:lvl w:ilvl="8" w:tplc="00000135">
      <w:start w:val="1"/>
      <w:numFmt w:val="decimal"/>
      <w:suff w:val="tab"/>
      <w:lvlText w:val="%9)"/>
      <w:lvlJc w:val="left"/>
      <w:pPr>
        <w:widowControl w:val="0"/>
        <w:ind w:hanging="360" w:left="3240"/>
      </w:pPr>
      <w:rPr>
        <w:rFonts w:ascii="Arial" w:cs="Arial" w:hAnsi="Arial" w:eastAsia="Arial"/>
      </w:rPr>
    </w:lvl>
  </w:abstractNum>
  <w:abstractNum w:abstractNumId="6">
    <w:nsid w:val="2DCB74D4"/>
    <w:multiLevelType w:val="hybridMultilevel"/>
    <w:lvl w:ilvl="0" w:tplc="00000136">
      <w:start w:val="1"/>
      <w:numFmt w:val="bullet"/>
      <w:suff w:val="tab"/>
      <w:lvlText w:val="·"/>
      <w:lvlJc w:val="left"/>
      <w:pPr>
        <w:widowControl w:val="0"/>
        <w:ind w:hanging="360" w:left="360"/>
      </w:pPr>
      <w:rPr>
        <w:rFonts w:ascii="Symbol" w:cs="Symbol" w:hAnsi="Symbol" w:eastAsia="Symbol"/>
      </w:rPr>
    </w:lvl>
    <w:lvl w:ilvl="1" w:tplc="00000137">
      <w:start w:val="1"/>
      <w:numFmt w:val="bullet"/>
      <w:suff w:val="tab"/>
      <w:lvlText w:val="·"/>
      <w:lvlJc w:val="left"/>
      <w:pPr>
        <w:widowControl w:val="0"/>
        <w:ind w:hanging="360" w:left="720"/>
      </w:pPr>
      <w:rPr>
        <w:rFonts w:ascii="Symbol" w:cs="Symbol" w:hAnsi="Symbol" w:eastAsia="Symbol"/>
      </w:rPr>
    </w:lvl>
    <w:lvl w:ilvl="2" w:tplc="00000138">
      <w:start w:val="1"/>
      <w:numFmt w:val="bullet"/>
      <w:suff w:val="tab"/>
      <w:lvlText w:val="·"/>
      <w:lvlJc w:val="left"/>
      <w:pPr>
        <w:widowControl w:val="0"/>
        <w:ind w:hanging="360" w:left="1080"/>
      </w:pPr>
      <w:rPr>
        <w:rFonts w:ascii="Symbol" w:cs="Symbol" w:hAnsi="Symbol" w:eastAsia="Symbol"/>
      </w:rPr>
    </w:lvl>
    <w:lvl w:ilvl="3" w:tplc="00000139">
      <w:start w:val="1"/>
      <w:numFmt w:val="bullet"/>
      <w:suff w:val="tab"/>
      <w:lvlText w:val="·"/>
      <w:lvlJc w:val="left"/>
      <w:pPr>
        <w:widowControl w:val="0"/>
        <w:ind w:hanging="360" w:left="1440"/>
      </w:pPr>
      <w:rPr>
        <w:rFonts w:ascii="Symbol" w:cs="Symbol" w:hAnsi="Symbol" w:eastAsia="Symbol"/>
      </w:rPr>
    </w:lvl>
    <w:lvl w:ilvl="4" w:tplc="0000013A">
      <w:start w:val="1"/>
      <w:numFmt w:val="bullet"/>
      <w:suff w:val="tab"/>
      <w:lvlText w:val="·"/>
      <w:lvlJc w:val="left"/>
      <w:pPr>
        <w:widowControl w:val="0"/>
        <w:ind w:hanging="360" w:left="1800"/>
      </w:pPr>
      <w:rPr>
        <w:rFonts w:ascii="Symbol" w:cs="Symbol" w:hAnsi="Symbol" w:eastAsia="Symbol"/>
      </w:rPr>
    </w:lvl>
    <w:lvl w:ilvl="5" w:tplc="0000013B">
      <w:start w:val="1"/>
      <w:numFmt w:val="bullet"/>
      <w:suff w:val="tab"/>
      <w:lvlText w:val="·"/>
      <w:lvlJc w:val="left"/>
      <w:pPr>
        <w:widowControl w:val="0"/>
        <w:ind w:hanging="360" w:left="2160"/>
      </w:pPr>
      <w:rPr>
        <w:rFonts w:ascii="Symbol" w:cs="Symbol" w:hAnsi="Symbol" w:eastAsia="Symbol"/>
      </w:rPr>
    </w:lvl>
    <w:lvl w:ilvl="6" w:tplc="0000013C">
      <w:start w:val="1"/>
      <w:numFmt w:val="bullet"/>
      <w:suff w:val="tab"/>
      <w:lvlText w:val="·"/>
      <w:lvlJc w:val="left"/>
      <w:pPr>
        <w:widowControl w:val="0"/>
        <w:ind w:hanging="360" w:left="2520"/>
      </w:pPr>
      <w:rPr>
        <w:rFonts w:ascii="Symbol" w:cs="Symbol" w:hAnsi="Symbol" w:eastAsia="Symbol"/>
      </w:rPr>
    </w:lvl>
    <w:lvl w:ilvl="7" w:tplc="0000013D">
      <w:start w:val="1"/>
      <w:numFmt w:val="bullet"/>
      <w:suff w:val="tab"/>
      <w:lvlText w:val="·"/>
      <w:lvlJc w:val="left"/>
      <w:pPr>
        <w:widowControl w:val="0"/>
        <w:ind w:hanging="360" w:left="2880"/>
      </w:pPr>
      <w:rPr>
        <w:rFonts w:ascii="Symbol" w:cs="Symbol" w:hAnsi="Symbol" w:eastAsia="Symbol"/>
      </w:rPr>
    </w:lvl>
    <w:lvl w:ilvl="8" w:tplc="0000013E">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