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8D678" Type="http://schemas.openxmlformats.org/officeDocument/2006/relationships/officeDocument" Target="/word/document.xml" /><Relationship Id="coreR2B48D678" Type="http://schemas.openxmlformats.org/package/2006/relationships/metadata/core-properties" Target="/docProps/core.xml" /><Relationship Id="customR2B48D6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elektrických systémech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řízení motorů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chladicí a mazací soustavy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komfortních a bezpečnostních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elektrických systémů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oprava, nastavení a seřízení karburátorů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řízení motorů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Kontrola, údržba a oprava chladicí a mazací soustavy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elektrických systémů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- provést testy funkčnosti všech dílů dobíjecí soustavy podle servisního manuálu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oprava, nastavení a seřízení karburátorů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seřízení hladiny paliva na demontovaném karburátoru, zbytek na karburátoru v motocyklu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