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6A320" Type="http://schemas.openxmlformats.org/officeDocument/2006/relationships/officeDocument" Target="/word/document.xml" /><Relationship Id="coreR7DA6A320" Type="http://schemas.openxmlformats.org/package/2006/relationships/metadata/core-properties" Target="/docProps/core.xml" /><Relationship Id="customR7DA6A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14.10.2022</w:t>
      </w:r>
    </w:p>
    <w:p>
      <w:pPr>
        <w:pStyle w:val="P21"/>
        <w:framePr w:w="7654" w:h="331" w:hRule="exact" w:wrap="none" w:vAnchor="page" w:hAnchor="margin" w:x="28" w:y="15940"/>
        <w:rPr>
          <w:rStyle w:val="C16"/>
          <w:rtl w:val="0"/>
        </w:rPr>
      </w:pPr>
      <w:r>
        <w:rPr>
          <w:rStyle w:val="C16"/>
          <w:rtl w:val="0"/>
        </w:rPr>
        <w:t>Montér smart grids pro rozvodné sítě, 17.6.2026 13:35:19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 smart grids pro rozvodné sítě, 17.6.2026 13:35:19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smart grids pro rozvodné sítě, 17.6.2026 13:35:19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smart grids pro rozvodné sítě, 17.6.2026 13:35:19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smart grids pro rozvodné sítě, 17.6.2026 13:35:19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smart grids pro rozvodné sítě, 17.6.2026 13:35:19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 smart grids pro rozvodné sítě, 17.6.2026 13:35:19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57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441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