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7F15B" Type="http://schemas.openxmlformats.org/officeDocument/2006/relationships/officeDocument" Target="/word/document.xml" /><Relationship Id="coreR3377F15B" Type="http://schemas.openxmlformats.org/package/2006/relationships/metadata/core-properties" Target="/docProps/core.xml" /><Relationship Id="customR3377F1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horkovodních energetických zařízení (kód: 26-060-M)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horkovodních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horkovodních kotlů s tepelným výkonem nad 35 MW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činnosti horkovodních kotlů s tepelným výkonem nad 35 MW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na přípravu uhelného prášku v technologických systémech kotelen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30.9.2026 2:41:34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horkovodního kotle s plynovým otopem, kde uchazeč předvede své praktické dovednosti splněním předepsaných kritérií.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30.9.2026 2:41:34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30.9.2026 2:41:34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