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204B18" Type="http://schemas.openxmlformats.org/officeDocument/2006/relationships/officeDocument" Target="/word/document.xml" /><Relationship Id="coreR16204B18" Type="http://schemas.openxmlformats.org/package/2006/relationships/metadata/core-properties" Target="/docProps/core.xml" /><Relationship Id="customR16204B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horkovodních energetických zařízení (kód: 26-060-M)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horkovodních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horkovodních kotlů s tepelným výkonem nad 35 MW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činnosti horkovodních kotlů s tepelným výkonem nad 35 MW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na přípravu uhelného prášku v technologických systémech kotelen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10.04.2018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horkovodních energetických zařízení, 2.10.2026 3:50:29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horkovodního kotle s plynovým otopem, kde uchazeč předvede své praktické dovednosti splněním předepsaných kritérií.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horkovodních energetických zařízení, 2.10.2026 3:50:29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horkovodních energetických zařízení, 2.10.2026 3:50:29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