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F1B40" Type="http://schemas.openxmlformats.org/officeDocument/2006/relationships/officeDocument" Target="/word/document.xml" /><Relationship Id="coreR23F1B40" Type="http://schemas.openxmlformats.org/package/2006/relationships/metadata/core-properties" Target="/docProps/core.xml" /><Relationship Id="customR23F1B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horkovodních energetických zařízení (kód: 26-060-M)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horkovodních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pojmech, údajích a technických parametrech horkovodních kotlů s tepelným výkonem nad 35 MW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činnosti horkovodních kotlů s tepelným výkonem nad 35 MW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na přípravu uhelného prášku v technologických systémech kotelen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10.04.2018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horkovodních energetických zařízení, 22.10.2026 9:24:32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topičského průkazu opravňujícího k samostatné obsluze kotlů 2. nebo 1. třídy.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horkovodního kotle s plynovým otopem, kde uchazeč předvede své praktické dovednosti splněním předepsaných kritérií.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horkovodních energetických zařízení, 22.10.2026 9:24:32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horkovodních energetických zařízení, 22.10.2026 9:24:32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