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3659B4" Type="http://schemas.openxmlformats.org/officeDocument/2006/relationships/officeDocument" Target="/word/document.xml" /><Relationship Id="coreR113659B4" Type="http://schemas.openxmlformats.org/package/2006/relationships/metadata/core-properties" Target="/docProps/core.xml" /><Relationship Id="customR113659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on-line marketingu (kód: 66-053-N)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on-line marketingu, 9.9.2026 21:25:13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Bc. Augustinova Diana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 Vodovodem 489/69, 10800 Praha 10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Bc. Bureš Filip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Nad Žlábkem 3938, 58001 Havlíčkův Brod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Effectix.com, s.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Sokolovská 668/136d, 186 Praha 8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MarkEDU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Učňovská 398/2, 19000 Praha 9 - Hrdlořezy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MAVO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Černošická 20, 25228 Vonoklasy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myTimi s. r. 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Voctářova 2449/5, 18000 Praha 8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Orange Academy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Pionýrská 1137/15, 69301 Hustopeče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PrimaFuture.cz s.r.o.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Jablonského 640/2, 17000 Praha 7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Royal Academy s.r.o.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Mostecká 2220/10, 58601 Jihlava</w:t>
      </w:r>
    </w:p>
    <w:p>
      <w:pPr>
        <w:pStyle w:val="P17"/>
        <w:framePr w:w="7847" w:h="607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Skillmea s. r. o.</w:t>
      </w:r>
    </w:p>
    <w:p>
      <w:pPr>
        <w:pStyle w:val="P19"/>
        <w:framePr w:w="2784" w:h="607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>Rohanské nábřeží 678/23/23, 18600 Praha 8</w:t>
      </w:r>
    </w:p>
    <w:p>
      <w:pPr>
        <w:pStyle w:val="P13"/>
        <w:framePr w:w="7847" w:h="376" w:hRule="exact" w:wrap="none" w:vAnchor="page" w:hAnchor="margin" w:x="45" w:y="913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190"/>
        <w:rPr>
          <w:rStyle w:val="C13"/>
          <w:rtl w:val="0"/>
        </w:rPr>
      </w:pPr>
      <w:r>
        <w:rPr>
          <w:rStyle w:val="C13"/>
          <w:rtl w:val="0"/>
        </w:rPr>
        <w:t>Středisko vzdělávání s.r.o.</w:t>
      </w:r>
    </w:p>
    <w:p>
      <w:pPr>
        <w:pStyle w:val="P15"/>
        <w:framePr w:w="2784" w:h="376" w:hRule="exact" w:wrap="none" w:vAnchor="page" w:hAnchor="margin" w:x="7937" w:y="913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190"/>
        <w:rPr>
          <w:rStyle w:val="C14"/>
          <w:rtl w:val="0"/>
        </w:rPr>
      </w:pPr>
      <w:r>
        <w:rPr>
          <w:rStyle w:val="C14"/>
          <w:rtl w:val="0"/>
        </w:rPr>
        <w:t>Česká 1432/36, 70030 Ostrava</w:t>
      </w:r>
    </w:p>
    <w:p>
      <w:pPr>
        <w:pStyle w:val="P17"/>
        <w:framePr w:w="7847" w:h="376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SUPER Kancelář s.r.o.</w:t>
      </w:r>
    </w:p>
    <w:p>
      <w:pPr>
        <w:pStyle w:val="P19"/>
        <w:framePr w:w="2784" w:h="376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Na Klášteře 33, 26601 Beroun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UniMFA, s.r.o.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 xml:space="preserve">náměstí I. P. Pavlova  1785/3, 12000 Praha 2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Vzdělávací Hub s. r. o.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Korunní 2569/108, 10100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on-line marketingu, 9.9.2026 21:25:13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