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F01B14" Type="http://schemas.openxmlformats.org/officeDocument/2006/relationships/officeDocument" Target="/word/document.xml" /><Relationship Id="coreR41F01B14" Type="http://schemas.openxmlformats.org/package/2006/relationships/metadata/core-properties" Target="/docProps/core.xml" /><Relationship Id="customR41F01B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Revizní technik/technička nízkotlakých kotelen (kód: 36-091-M)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Revizní technik nízkotlakých kotelen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ostatních předpisech, technických normách BOZP a jejich aplikace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otopných soustav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bezpečnosti práce, ochrany majetku a požární prevence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dokumentace a zpráv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30.9.2026 2:45:01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6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( např. potvrzení o absolvování týdenního praktického zácviku uchazeče při provozu nízkotlakého kotle).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přímo v nízkotlaké kotelně s plynovým otopem, kde uchazeč předvede svoji praktickou schopnost orientace a aplikace, pokud se jedná o právní a bezpečnostní předpisy platné pro nízkotlaké kotelny. Před praktickou částí zkoušky se provádí část teoretická, při které uchazeč plní písemně stanovená kritéria se způsobem ověření "písemně s ústním zdůvodněním", což může doplnit ústně před zkušební komisí.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Všichni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30.9.2026 2:45:01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Revizní technik/technička nízkotlakých kotelen, 30.9.2026 2:45:01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