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C3E773" Type="http://schemas.openxmlformats.org/officeDocument/2006/relationships/officeDocument" Target="/word/document.xml" /><Relationship Id="coreR10C3E773" Type="http://schemas.openxmlformats.org/package/2006/relationships/metadata/core-properties" Target="/docProps/core.xml" /><Relationship Id="customR10C3E7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mistr / chemicko-farmaceutická mistrová (kód: 28-111-M)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ochrany produktu ve výrobním procesu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chemicko-farmaceutické výroby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18.10.2026 19:34:05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http://katalog.nsp.cz/zdravotniPodminky.aspx?id_jp=103040).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úlohy, které prokazují aplikační schopnost, znalost a dovednost v oboru.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 vysvětlí, popíše, definuje prvky zadané v kritériích hodnocení, případně doplní náčrtem (náčrt toku) nebo popsanou kresbou.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praktické předvedení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pomůcek a měřicích zařízení a jejich obsluhu po přečtení předloženého vzoru standardního operačního postupu. Ověření proběhne ve vhodných laboratorních prostorách. Ústně popíše, co provádí a zdůvodní postup. Provedené kroky simulovaného procesu zapíše do předloženého vzoru záznamové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18.10.2026 19:34:05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18.10.2026 19:34:05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