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39E8" Type="http://schemas.openxmlformats.org/officeDocument/2006/relationships/officeDocument" Target="/word/document.xml" /><Relationship Id="coreR15139E8" Type="http://schemas.openxmlformats.org/package/2006/relationships/metadata/core-properties" Target="/docProps/core.xml" /><Relationship Id="customR15139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vodárenský technik technicko-provozního reportingu, 11.7.2026 6:25:17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11.7.2026 6:25:17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11.7.2026 6:25:17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11.7.2026 6:25:17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11.7.2026 6:25:17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vodárenský technik technicko-provozního reportingu, 11.7.2026 6:25:17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technicko-provozního reportingu, 11.7.2026 6:25:17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331" w:hRule="exact" w:wrap="none" w:vAnchor="page" w:hAnchor="margin" w:x="28" w:y="15940"/>
        <w:rPr>
          <w:rStyle w:val="C16"/>
          <w:rtl w:val="0"/>
        </w:rPr>
      </w:pPr>
      <w:r>
        <w:rPr>
          <w:rStyle w:val="C16"/>
          <w:rtl w:val="0"/>
        </w:rPr>
        <w:t>Samostatný vodárenský technik technicko-provozního reportingu, 11.7.2026 6:25:17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technicko-provozního reportingu, 11.7.2026 6:25:17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3CA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7D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6610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