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DDAE8BD" Type="http://schemas.openxmlformats.org/officeDocument/2006/relationships/officeDocument" Target="/word/document.xml" /><Relationship Id="coreR5DDAE8BD" Type="http://schemas.openxmlformats.org/package/2006/relationships/metadata/core-properties" Target="/docProps/core.xml" /><Relationship Id="customR5DDAE8BD"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Vodárenský specialista telemetrie a automatizace (kód: 36-179-T)</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zemědělství</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Vodárenský specialista</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7</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automatizaci a telemetrii ve vodárenství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5</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Orientace v legislativě týkající se telemetrie a automatizace ve vodárenství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7</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Metodické řízení koncepce zavádění a rozvoje telemetrie a automatizace vodárenského systému</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7</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Metodické řízení činností diagnostiky a nastavování procesní instrumentace ve vodárenství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7</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Metodické řízení činností diagnostiky a nastavování automatizovaného systému řízení ve vodárenství</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7</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Metodické řízení činností diagnostiky a nastavování telemetrického systému ve vodárenství</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7</w:t>
      </w:r>
    </w:p>
    <w:p>
      <w:pPr>
        <w:pStyle w:val="P12"/>
        <w:framePr w:w="9826" w:h="607" w:hRule="exact" w:wrap="none" w:vAnchor="page" w:hAnchor="margin" w:x="45" w:y="7877"/>
        <w:rPr>
          <w:rStyle w:val="C3"/>
          <w:rtl w:val="0"/>
        </w:rPr>
      </w:pPr>
    </w:p>
    <w:p>
      <w:pPr>
        <w:pStyle w:val="P13"/>
        <w:framePr w:w="9774" w:h="480" w:hRule="exact" w:wrap="none" w:vAnchor="page" w:hAnchor="margin" w:x="71" w:y="7933"/>
        <w:rPr>
          <w:rStyle w:val="C11"/>
          <w:rtl w:val="0"/>
        </w:rPr>
      </w:pPr>
      <w:r>
        <w:rPr>
          <w:rStyle w:val="C11"/>
          <w:rtl w:val="0"/>
        </w:rPr>
        <w:t>Plánování a metodické řízení údržby a oprav elektrotechnických systémů automatizace a telemetrie ve vodárenství</w:t>
      </w:r>
    </w:p>
    <w:p>
      <w:pPr>
        <w:pStyle w:val="P14"/>
        <w:framePr w:w="805" w:h="607" w:hRule="exact" w:wrap="none" w:vAnchor="page" w:hAnchor="margin" w:x="9916" w:y="7877"/>
        <w:rPr>
          <w:rStyle w:val="C3"/>
          <w:rtl w:val="0"/>
        </w:rPr>
      </w:pPr>
    </w:p>
    <w:p>
      <w:pPr>
        <w:pStyle w:val="P15"/>
        <w:framePr w:w="723" w:h="480" w:hRule="exact" w:wrap="none" w:vAnchor="page" w:hAnchor="margin" w:x="9972" w:y="7933"/>
        <w:rPr>
          <w:rStyle w:val="C12"/>
          <w:rtl w:val="0"/>
        </w:rPr>
      </w:pPr>
      <w:r>
        <w:rPr>
          <w:rStyle w:val="C12"/>
          <w:rtl w:val="0"/>
        </w:rPr>
        <w:t>7</w:t>
      </w:r>
    </w:p>
    <w:p>
      <w:pPr>
        <w:pStyle w:val="P16"/>
        <w:framePr w:w="9826" w:h="376" w:hRule="exact" w:wrap="none" w:vAnchor="page" w:hAnchor="margin" w:x="45" w:y="8484"/>
        <w:rPr>
          <w:rStyle w:val="C3"/>
          <w:rtl w:val="0"/>
        </w:rPr>
      </w:pPr>
    </w:p>
    <w:p>
      <w:pPr>
        <w:pStyle w:val="P17"/>
        <w:framePr w:w="9774" w:h="249" w:hRule="exact" w:wrap="none" w:vAnchor="page" w:hAnchor="margin" w:x="71" w:y="8540"/>
        <w:rPr>
          <w:rStyle w:val="C13"/>
          <w:rtl w:val="0"/>
        </w:rPr>
      </w:pPr>
      <w:r>
        <w:rPr>
          <w:rStyle w:val="C13"/>
          <w:rtl w:val="0"/>
        </w:rPr>
        <w:t>Plánování a metodické řízení údržby a oprav prvků systémů automatizovaného řízení a telemetrie ve vodárenství</w:t>
      </w:r>
    </w:p>
    <w:p>
      <w:pPr>
        <w:pStyle w:val="P18"/>
        <w:framePr w:w="805" w:h="376" w:hRule="exact" w:wrap="none" w:vAnchor="page" w:hAnchor="margin" w:x="9916" w:y="8484"/>
        <w:rPr>
          <w:rStyle w:val="C3"/>
          <w:rtl w:val="0"/>
        </w:rPr>
      </w:pPr>
    </w:p>
    <w:p>
      <w:pPr>
        <w:pStyle w:val="P19"/>
        <w:framePr w:w="723" w:h="249" w:hRule="exact" w:wrap="none" w:vAnchor="page" w:hAnchor="margin" w:x="9972" w:y="8540"/>
        <w:rPr>
          <w:rStyle w:val="C14"/>
          <w:rtl w:val="0"/>
        </w:rPr>
      </w:pPr>
      <w:r>
        <w:rPr>
          <w:rStyle w:val="C14"/>
          <w:rtl w:val="0"/>
        </w:rPr>
        <w:t>7</w:t>
      </w:r>
    </w:p>
    <w:p>
      <w:pPr>
        <w:pStyle w:val="P12"/>
        <w:framePr w:w="9826" w:h="376" w:hRule="exact" w:wrap="none" w:vAnchor="page" w:hAnchor="margin" w:x="45" w:y="8860"/>
        <w:rPr>
          <w:rStyle w:val="C3"/>
          <w:rtl w:val="0"/>
        </w:rPr>
      </w:pPr>
    </w:p>
    <w:p>
      <w:pPr>
        <w:pStyle w:val="P13"/>
        <w:framePr w:w="9774" w:h="249" w:hRule="exact" w:wrap="none" w:vAnchor="page" w:hAnchor="margin" w:x="71" w:y="8916"/>
        <w:rPr>
          <w:rStyle w:val="C11"/>
          <w:rtl w:val="0"/>
        </w:rPr>
      </w:pPr>
      <w:r>
        <w:rPr>
          <w:rStyle w:val="C11"/>
          <w:rtl w:val="0"/>
        </w:rPr>
        <w:t>Hodnocení a řízení rizik BOZP a PO ve vodárenských objektech při práci na elektrickém zařízení</w:t>
      </w:r>
    </w:p>
    <w:p>
      <w:pPr>
        <w:pStyle w:val="P14"/>
        <w:framePr w:w="805" w:h="376" w:hRule="exact" w:wrap="none" w:vAnchor="page" w:hAnchor="margin" w:x="9916" w:y="8860"/>
        <w:rPr>
          <w:rStyle w:val="C3"/>
          <w:rtl w:val="0"/>
        </w:rPr>
      </w:pPr>
    </w:p>
    <w:p>
      <w:pPr>
        <w:pStyle w:val="P15"/>
        <w:framePr w:w="723" w:h="249" w:hRule="exact" w:wrap="none" w:vAnchor="page" w:hAnchor="margin" w:x="9972" w:y="8916"/>
        <w:rPr>
          <w:rStyle w:val="C12"/>
          <w:rtl w:val="0"/>
        </w:rPr>
      </w:pPr>
      <w:r>
        <w:rPr>
          <w:rStyle w:val="C12"/>
          <w:rtl w:val="0"/>
        </w:rPr>
        <w:t>7</w:t>
      </w:r>
    </w:p>
    <w:p>
      <w:pPr>
        <w:pStyle w:val="P7"/>
        <w:framePr w:w="8788" w:h="340" w:hRule="exact" w:wrap="none" w:vAnchor="page" w:hAnchor="margin" w:x="28" w:y="9463"/>
        <w:rPr>
          <w:rStyle w:val="C8"/>
          <w:rtl w:val="0"/>
        </w:rPr>
      </w:pPr>
      <w:r>
        <w:rPr>
          <w:rStyle w:val="C8"/>
          <w:rtl w:val="0"/>
        </w:rPr>
        <w:t>Platnost standardu</w:t>
      </w:r>
    </w:p>
    <w:p>
      <w:pPr>
        <w:pStyle w:val="P20"/>
        <w:framePr w:w="4283" w:h="248" w:hRule="exact" w:wrap="none" w:vAnchor="page" w:hAnchor="margin" w:x="28" w:y="9803"/>
        <w:rPr>
          <w:rStyle w:val="C15"/>
          <w:rtl w:val="0"/>
        </w:rPr>
      </w:pPr>
      <w:r>
        <w:rPr>
          <w:rStyle w:val="C15"/>
          <w:rtl w:val="0"/>
        </w:rPr>
        <w:t>Standard je platný od: 19.06.2020 do: 20.10.2022</w:t>
      </w:r>
    </w:p>
    <w:p>
      <w:pPr>
        <w:pStyle w:val="P21"/>
        <w:framePr w:w="7654" w:h="331" w:hRule="exact" w:wrap="none" w:vAnchor="page" w:hAnchor="margin" w:x="28" w:y="15940"/>
        <w:rPr>
          <w:rStyle w:val="C16"/>
          <w:rtl w:val="0"/>
        </w:rPr>
      </w:pPr>
      <w:r>
        <w:rPr>
          <w:rStyle w:val="C16"/>
          <w:rtl w:val="0"/>
        </w:rPr>
        <w:t>Vodárenský specialista telemetrie a automatizace, 17.6.2026 13:52:29</w:t>
      </w:r>
    </w:p>
    <w:p>
      <w:pPr>
        <w:pStyle w:val="P22"/>
        <w:framePr w:w="2790" w:h="331" w:hRule="exact" w:wrap="none" w:vAnchor="page" w:hAnchor="margin" w:x="7911" w:y="15940"/>
        <w:rPr>
          <w:rStyle w:val="C17"/>
          <w:rtl w:val="0"/>
        </w:rPr>
      </w:pPr>
      <w:r>
        <w:rPr>
          <w:rStyle w:val="C17"/>
          <w:rtl w:val="0"/>
        </w:rPr>
        <w:t>Strana 1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66" w:h="13088" w:hRule="exact" w:wrap="none" w:vAnchor="page" w:hAnchor="margin" w:x="0" w:y="2154"/>
        <w:rPr>
          <w:rStyle w:val="C3"/>
          <w:rtl w:val="0"/>
        </w:rPr>
      </w:pPr>
    </w:p>
    <w:p>
      <w:pPr>
        <w:pStyle w:val="P24"/>
        <w:framePr w:w="10710" w:h="340" w:hRule="exact" w:wrap="none" w:vAnchor="page" w:hAnchor="margin" w:x="28" w:y="2154"/>
        <w:rPr>
          <w:rStyle w:val="C18"/>
          <w:rtl w:val="0"/>
        </w:rPr>
      </w:pPr>
      <w:r>
        <w:rPr>
          <w:rStyle w:val="C18"/>
          <w:rtl w:val="0"/>
        </w:rPr>
        <w:t>Organizační a metodické pokyny</w:t>
      </w:r>
    </w:p>
    <w:p>
      <w:pPr>
        <w:pStyle w:val="P25"/>
        <w:framePr w:w="10710" w:h="340" w:hRule="exact" w:wrap="none" w:vAnchor="page" w:hAnchor="margin" w:x="28" w:y="2494"/>
        <w:rPr>
          <w:rStyle w:val="C19"/>
          <w:rtl w:val="0"/>
        </w:rPr>
      </w:pPr>
      <w:r>
        <w:rPr>
          <w:rStyle w:val="C19"/>
          <w:rtl w:val="0"/>
        </w:rPr>
        <w:t>Pokyny k realizaci zkoušky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je oprávněna předčasně ukončit zkoušku, pokud vyhodnotí, že v důsledku činnosti uchazeče bezprostředně došlo k ohrožení nebo bezprostředně hrozí nebezpečí ohrožení zdraví, života a majetku či životního prostředí. Zdůvodnění předčasného ukončení zkoušky uvede AOs do Záznamu o průběhu a výsledku zkoušky. Uchazeč může ukončit zkoušku kdykoliv v jejím průběhu, a to na vlastní žádost.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vykonání zkoušky není vyžadována.</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připraví ke zkoušce modelové situace (viz příklady modelových situací níže) ke kompetencím:</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Orientace v legislativě týkající se telemetrie a automatizace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 Uchazeč dostane potřebné právní předpisy a z nich zpracuje např. do tabulky, jaké právní povinnosti je třeba splnit v dané situaci. Např. při instalaci radiového pojítka se jedná o souhlas SVJ s instalací, splnění podmínek BOZP - informování vlastníků o rizicích, povolení pojítka a jeho vlnových délek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koncepce zavádění a rozvoje telemetrie a automatizace vodárenského systému</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zavedení systému dálkových odečtů v residenční čtvrti, kontrola spotřeby vody v průmyslovém areálu, vzdáleného řízení skupinového vodovodu svazku obcí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procesní instrumentace ve vodárenství </w:t>
      </w:r>
      <w:r>
        <w:rPr>
          <w:rFonts w:ascii="Arial" w:cs="Arial" w:hAnsi="Arial" w:eastAsia="Arial"/>
          <w:b w:val="0"/>
          <w:i w:val="0"/>
          <w:caps w:val="0"/>
          <w:strike w:val="0"/>
          <w:noProof w:val="0"/>
          <w:vanish w:val="0"/>
          <w:color w:val="auto"/>
          <w:sz w:val="20"/>
          <w:u w:val="none"/>
          <w:shd w:val="clear" w:color="auto" w:fill="auto"/>
          <w:vertAlign w:val="baseline"/>
          <w:lang/>
        </w:rPr>
        <w:t>- kritérium c) – zpracovat metodiku pro diagnostiku a nastavování jednoho z následujících snímačů: snímač tlaku, snímač teploty, senzor pH, senzor konduktivity, senzor koncentrace rozpuštěného kyslíku nebo jiného podobného zařízení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 xml:space="preserve">Metodické řízení činností diagnostiky a nastavování telemetrického systému ve vodárenství </w:t>
      </w:r>
      <w:r>
        <w:rPr>
          <w:rFonts w:ascii="Arial" w:cs="Arial" w:hAnsi="Arial" w:eastAsia="Arial"/>
          <w:b w:val="0"/>
          <w:i w:val="0"/>
          <w:caps w:val="0"/>
          <w:strike w:val="0"/>
          <w:noProof w:val="0"/>
          <w:vanish w:val="0"/>
          <w:color w:val="auto"/>
          <w:sz w:val="20"/>
          <w:u w:val="none"/>
          <w:shd w:val="clear" w:color="auto" w:fill="auto"/>
          <w:vertAlign w:val="baseline"/>
          <w:lang/>
        </w:rPr>
        <w:t>kritérium - c) – zpracovat metodiku pro diagnostiku a nastavení jednoho z následujících parametrů telemetrického systému: časová frekvence přenosu dat, zapnutí nebo vypnutí systému, změna adresáta přenášených dat apod., provedení identifikace poruchy podle chybových hlášení</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Metodické řízení činností diagnostiky a nastavování automatizovaného systému řízení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c) -zpracovat metodiku diagnostiky automatizovaného systému řízení pro identifikaci poruchy podle chybových hlášení, zjištění vstupu nepovolané osoby, zjištění požáru. Zpracovat metodiku nastavení parametrů čerpací stanice podle pokynu, popř. další situace</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AOs vybere nějakou z těchto situací a zadá uchazeči zpracování stručné metodiky - např. nastavení čerpací stanice. Je třeba zjistit současné nastavení, cílové nastavení, nastavení na dálku nebo na místě, provedení nastavení, kontrolu apod.</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elektrotechnických systémů automatizace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g) – zpracovat postup tvorby plánů oprav , údržby a periodických revizí pro některý z následujících, systémů – vodojem se senzorem výšky hladiny a tlaku, měřením průtoku a dálkovým přenosem, čerpací stanice se senzorem hladiny a dálkovým ovládáním čerpadel, systém dálkových odečtů v rezidenční čtvrti, systém dálkových odečtů v průmyslovém areálu. - kritérium h) Zpracovat návrh postupu kontrol prováděných provozovatelem při dodavatelském provádění oprav a revizí – zpracovat návrh postupu kontrol prováděných provozovatelem při dodavatelském provádění oprav a revizí pro tyto modelové situace – výměna průtokoměru na vodojemu, oprava přístupového bodu radiové sítě při ztrátě signálu, výměna senzoru výšky hladiny na vodojemu, výměna tlakového senzoru, oprava senzoru pH, který vykazuje dlouhodobou odchylku od laboratorních hodnot, oprava zákaloměru, který vykazuje dlouhodobou odchylku od laboratorních hodnot</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1"/>
          <w:caps w:val="0"/>
          <w:strike w:val="0"/>
          <w:noProof w:val="0"/>
          <w:vanish w:val="0"/>
          <w:color w:val="auto"/>
          <w:sz w:val="20"/>
          <w:u w:val="none"/>
          <w:shd w:val="clear" w:color="auto" w:fill="auto"/>
          <w:vertAlign w:val="baseline"/>
          <w:lang/>
        </w:rPr>
        <w:t>Plánování a metodické řízení údržby a oprav prvků systémů automatizovaného řízení a telemetrie ve vodárenství</w:t>
      </w:r>
      <w:r>
        <w:rPr>
          <w:rFonts w:ascii="Arial" w:cs="Arial" w:hAnsi="Arial" w:eastAsia="Arial"/>
          <w:b w:val="0"/>
          <w:i w:val="0"/>
          <w:caps w:val="0"/>
          <w:strike w:val="0"/>
          <w:noProof w:val="0"/>
          <w:vanish w:val="0"/>
          <w:color w:val="auto"/>
          <w:sz w:val="20"/>
          <w:u w:val="none"/>
          <w:shd w:val="clear" w:color="auto" w:fill="auto"/>
          <w:vertAlign w:val="baseline"/>
          <w:lang/>
        </w:rPr>
        <w:t xml:space="preserve"> - kritérium d) - Zhodnotit stav konkrétního prvku automatizovaného řízení a telemetrie a posoudit možnosti řešení hodnoceného stavu – provést pro jeden z těchto prvků radiomodem, vodoměr se zařízením pro dálkový odečet, požární hlásič, snímač tlaku, snímač teploty, senzor pH, senzor konduktivity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407"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17.6.2026 13:52:29</w:t>
      </w:r>
    </w:p>
    <w:p>
      <w:pPr>
        <w:pStyle w:val="P22"/>
        <w:framePr w:w="2790" w:h="331" w:hRule="exact" w:wrap="none" w:vAnchor="page" w:hAnchor="margin" w:x="7911" w:y="15940"/>
        <w:rPr>
          <w:rStyle w:val="C17"/>
          <w:rtl w:val="0"/>
        </w:rPr>
      </w:pPr>
      <w:r>
        <w:rPr>
          <w:rStyle w:val="C17"/>
          <w:rtl w:val="0"/>
        </w:rPr>
        <w:t>Strana 2 z 3</w:t>
      </w:r>
    </w:p>
    <w:p>
      <w:pPr>
        <w:rPr>
          <w:rtl w:val="0"/>
        </w:rPr>
        <w:sectPr>
          <w:type w:val="nextPage"/>
          <w:pgSz w:w="11908" w:h="16833"/>
          <w:pgMar w:left="572" w:right="566" w:top="566" w:bottom="566" w:header="720" w:footer="720" w:gutter="0"/>
          <w:formProt w:val="0"/>
        </w:sectPr>
      </w:pPr>
    </w:p>
    <w:p>
      <w:pPr>
        <w:pStyle w:val="P1"/>
        <w:framePr w:w="4376" w:h="794" w:hRule="exact" w:wrap="none" w:vAnchor="page" w:hAnchor="margin" w:x="6354" w:y="720"/>
        <w:rPr>
          <w:rStyle w:val="C4"/>
          <w:rtl w:val="0"/>
        </w:rPr>
      </w:pPr>
      <w:r>
        <w:rPr>
          <w:rStyle w:val="C4"/>
          <w:rtl w:val="0"/>
        </w:rPr>
        <w:t>Kvalifikační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27"/>
        <w:framePr w:w="10710" w:h="282" w:hRule="exact" w:wrap="none" w:vAnchor="page" w:hAnchor="margin" w:x="28" w:y="2721"/>
        <w:rPr>
          <w:rStyle w:val="C20"/>
          <w:rtl w:val="0"/>
        </w:rPr>
      </w:pPr>
      <w:r>
        <w:rPr>
          <w:rStyle w:val="C20"/>
          <w:rtl w:val="0"/>
        </w:rPr>
        <w:t>Autoři kvalifikačního standardu</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Kvalifikační standard profesní kvalifikace připravila SR pro lesní a vodní hospodářství a životní prostředí, ustavená a licencovaná pro tuto činnost HK ČR a SP ČR.</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Pražské vodovody a kanalizace, a.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REVOS Rokycany, s. r. o.</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pro vodu ČR, z. s.</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Ing. Jiří Šejnoha, OSVČ</w:t>
      </w:r>
    </w:p>
    <w:p>
      <w:pPr>
        <w:keepNext w:val="0"/>
        <w:keepLines w:val="0"/>
        <w:framePr w:w="10766" w:h="2112" w:hRule="exact" w:wrap="none" w:vAnchor="page" w:hAnchor="margin" w:x="0" w:y="300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Vodárenský specialista telemetrie a automatizace, 17.6.2026 13:52:29</w:t>
      </w:r>
    </w:p>
    <w:p>
      <w:pPr>
        <w:pStyle w:val="P22"/>
        <w:framePr w:w="2790" w:h="331" w:hRule="exact" w:wrap="none" w:vAnchor="page" w:hAnchor="margin" w:x="7911" w:y="15940"/>
        <w:rPr>
          <w:rStyle w:val="C17"/>
          <w:rtl w:val="0"/>
        </w:rPr>
      </w:pPr>
      <w:r>
        <w:rPr>
          <w:rStyle w:val="C17"/>
          <w:rtl w:val="0"/>
        </w:rPr>
        <w:t>Strana 3 z 3</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shd w:val="clear" w:fill="auto"/>
      <w:bidi w:val="0"/>
      <w:jc w:val="left"/>
    </w:pPr>
  </w:style>
  <w:style w:type="paragraph" w:styleId="P24">
    <w:name w:val="ParagraphStyle23"/>
    <w:hidden/>
    <w:pPr>
      <w:bidi w:val="0"/>
      <w:jc w:val="left"/>
    </w:pPr>
  </w:style>
  <w:style w:type="paragraph" w:styleId="P25">
    <w:name w:val="ParagraphStyle24"/>
    <w:hidden/>
    <w:pPr>
      <w:bidi w:val="0"/>
      <w:jc w:val="left"/>
    </w:pPr>
  </w:style>
  <w:style w:type="paragraph" w:styleId="P26">
    <w:name w:val="ParagraphStyle25"/>
    <w:hidden/>
    <w:pPr>
      <w:shd w:val="clear" w:fill="auto"/>
      <w:bidi w:val="0"/>
      <w:jc w:val="left"/>
    </w:pPr>
  </w:style>
  <w:style w:type="paragraph" w:styleId="P27">
    <w:name w:val="ParagraphStyle26"/>
    <w:hidden/>
    <w:pPr>
      <w:bidi w:val="0"/>
      <w:jc w:val="left"/>
    </w:pPr>
  </w:style>
  <w:style w:type="paragraph" w:styleId="P28">
    <w:name w:val="ParagraphStyle2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4"/>
      <w:szCs w:val="24"/>
      <w:u w:val="none"/>
    </w:rPr>
  </w:style>
  <w:style w:type="character" w:styleId="C19">
    <w:name w:val="CharacterStyle15"/>
    <w:hidden/>
    <w:rPr>
      <w:rFonts w:ascii="Arial" w:cs="Arial" w:hAnsi="Arial" w:eastAsia="Arial"/>
      <w:b w:val="1"/>
      <w:i w:val="0"/>
      <w:strike w:val="0"/>
      <w:noProof w:val="1"/>
      <w:color w:val="000000"/>
      <w:sz w:val="22"/>
      <w:szCs w:val="22"/>
      <w:u w:val="none"/>
    </w:rPr>
  </w:style>
  <w:style w:type="character" w:styleId="C20">
    <w:name w:val="CharacterStyle16"/>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