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31B2A6" Type="http://schemas.openxmlformats.org/officeDocument/2006/relationships/officeDocument" Target="/word/document.xml" /><Relationship Id="coreR2C31B2A6" Type="http://schemas.openxmlformats.org/package/2006/relationships/metadata/core-properties" Target="/docProps/core.xml" /><Relationship Id="customR2C31B2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designu pro nové modely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modelů a typů brašnářských výrobků podle typizovaných postupů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modelů a vzorů brašnářských výrobků podle požadavků zákazníka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Konstrukce šablon brašnářských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modelů brašnářských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vzhledu brašnářského výrobku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18.10.2026 16:30:34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https://www.nsp.cz/jednotka-prace/kozarsky-technik-designer#zdravotni-zpusobilost).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kožedělné výroby.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k dispozici počítač s nainstalovaným kancelářským SW a připojení na internet.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úkolů podle kritérií hodnocení. 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brašnářských výrobků.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designu pro nové modely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b) a c) způsob provedení modelu brašnářského výrobku. Autorizovaná osoba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typů brašnářských výrobků podle typizovaných postupů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b), navrhne provedení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modelů a vzorů brašnářských výrobků podle požadavků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a) požadavky na vypracování a sestavení technického návrhu brašnářského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Konstrukce šablon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 a b) požadavky na vytvoření šablony a modelu brašnářských výrobku. 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Zhotovování modelů brašnářských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 vzor brašnářského výrobku.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18.10.2026 16:30:34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brašnářských výrobků, 18.10.2026 16:30:34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