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2029D4" Type="http://schemas.openxmlformats.org/officeDocument/2006/relationships/officeDocument" Target="/word/document.xml" /><Relationship Id="coreR582029D4" Type="http://schemas.openxmlformats.org/package/2006/relationships/metadata/core-properties" Target="/docProps/core.xml" /><Relationship Id="customR582029D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Bourač/bouračka vepřového masa (kód: 29-101-H)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Řezník a uzenář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Dělení a vykosťování masa jatečných prasat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požadavků na jatečně upravená těla prasat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vykostěného vepřového masa pro výsek a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Popsání průběhu zracích procesů v mase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Skladování masa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strojního a technologického vybavení bourárny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v provozech masného průmyslu,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Bourač/bouračka vepřového masa, 11.9.2026 18:47:23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75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https://www.nsp.cz/jednotka-prace/reznik-a-uzenar#zdravotni-zpusobilost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v navazující činnosti vedoucí k bourání masa jatečných prasat s využitím technologických postupů a hygienických zásad zacházení s jatečně upravenými těly jatečných prasat a čerstvým vepřovým masem.</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kompetencí stačí jatečně upravené tělo jednoho jatečného prasete.</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zejména formou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organizace práce.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21"/>
        <w:framePr w:w="7654" w:h="331" w:hRule="exact" w:wrap="none" w:vAnchor="page" w:hAnchor="margin" w:x="28" w:y="15940"/>
        <w:rPr>
          <w:rStyle w:val="C16"/>
          <w:rtl w:val="0"/>
        </w:rPr>
      </w:pPr>
      <w:r>
        <w:rPr>
          <w:rStyle w:val="C16"/>
          <w:rtl w:val="0"/>
        </w:rPr>
        <w:t>Bourač/bouračka vepřového masa, 11.9.2026 18:47:23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Jatky Český Brod,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ekonomických studií, SPŠ potravinářských technologií a SOŠ přírodovědná a veterinární</w:t>
      </w:r>
    </w:p>
    <w:p>
      <w:pPr>
        <w:pStyle w:val="P21"/>
        <w:framePr w:w="7654" w:h="331" w:hRule="exact" w:wrap="none" w:vAnchor="page" w:hAnchor="margin" w:x="28" w:y="15940"/>
        <w:rPr>
          <w:rStyle w:val="C16"/>
          <w:rtl w:val="0"/>
        </w:rPr>
      </w:pPr>
      <w:r>
        <w:rPr>
          <w:rStyle w:val="C16"/>
          <w:rtl w:val="0"/>
        </w:rPr>
        <w:t>Bourač/bouračka vepřového masa, 11.9.2026 18:47:23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