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CB2B31" Type="http://schemas.openxmlformats.org/officeDocument/2006/relationships/officeDocument" Target="/word/document.xml" /><Relationship Id="coreR8CB2B31" Type="http://schemas.openxmlformats.org/package/2006/relationships/metadata/core-properties" Target="/docProps/core.xml" /><Relationship Id="customR8CB2B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vepřového masa (kód: 29-101-H)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jatečně upravená těla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vykostěného vepřového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Bourač/bouračka vepřového masa, 20.10.2026 12:35:44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5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bourání masa jatečných prasat s využitím technologických postupů a hygienických zásad zacházení s jatečně upravenými těly jatečných prasat a čerstvým vepřovým masem.</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Bourač/bouračka vepřového masa, 20.10.2026 12:35:44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w:t>
      </w:r>
    </w:p>
    <w:p>
      <w:pPr>
        <w:pStyle w:val="P21"/>
        <w:framePr w:w="7654" w:h="331" w:hRule="exact" w:wrap="none" w:vAnchor="page" w:hAnchor="margin" w:x="28" w:y="15940"/>
        <w:rPr>
          <w:rStyle w:val="C16"/>
          <w:rtl w:val="0"/>
        </w:rPr>
      </w:pPr>
      <w:r>
        <w:rPr>
          <w:rStyle w:val="C16"/>
          <w:rtl w:val="0"/>
        </w:rPr>
        <w:t>Bourač/bouračka vepřového masa, 20.10.2026 12:35:44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