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CB868C" Type="http://schemas.openxmlformats.org/officeDocument/2006/relationships/officeDocument" Target="/word/document.xml" /><Relationship Id="coreR54CB868C" Type="http://schemas.openxmlformats.org/package/2006/relationships/metadata/core-properties" Target="/docProps/core.xml" /><Relationship Id="customR54CB86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Silničář/silničářka pro dopravní značení (kód: 36-180-H)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Silničář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stavebních výkresech a dokumentaci pro stavebně montážní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dílů pro výrobu prvků stavebních konstrukcí a jejich montáž do stavebního celku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provádění montáží stavebních konstrukcí a spojování konstrukcí vázáním, betonováním a svařováním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 a osazování železobetonových základových bloků, sloupů, stožárů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Úprava a sestavování plechových součástí a dílů do celků, jejich spojování lemováním, pájením a nýtováním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Výroba, montáž, osazování a opravy dopravního značení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Posuzování stavu podkladu před nanášením nátěrových hmot; stanovení způsobu přípravy podkladu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programovatelných zařízení pro nanášení nátěrových hmot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Nanášení nátěrů štětcem, válečkem a stříkacím zařízením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Ošetřování a údržba použitých nástrojů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Zabezpečení pracoviště z hlediska bezpečnosti a ochrany zdraví při práci, hygieny práce a požární ochrany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Silničář/silničářka pro dopravní značení, 30.9.2026 1:44:21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https://www.nsp.cz/jednotka-prace/silnicar#zdravotni-zpusobilost).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Účastník je předem informován o nutnosti vlastního vybavení předepsanými ochranými osobními pomůckami a vhodným oblečením pro vykonání práce dle zadání.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kritériium a) a b) je považováno uvedení příslušných norem a zvolení odpovídajícího řešení zadání činnosti podle předpisů platných v den zkoušky, resp. odpovídající řešení praktické části zadání s dosažením požadovaného stavu výrobku (dopravního značení) za dodržení všech předpisů, vč. BOZP, PO a OŽP.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rozhodování autorizované osoby o splnění odborné kompetence se vždy vychází z posouzení znalosti žadatele o ustanoveních příslušného předpisu, např. u velikosti značení, správného rozmístění, uspořádání vodorovného značení a pod. Posuzovaná je kvalita prací v oblasti praktické části, kdy je přímo v rámci zadání vždy konkretizován i rozsah prováděných prací, např. u nátěrů ploch a vodorovného značení.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zejména následujících norem a předpisů v platném znění s možným využitím materiálu Centra dopravního výzkumu, Ministerstva dopravy ČR "Zásady pro dopravní značení na pozemních komunikacích":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12899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12368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12767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1436 a 1463-1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6056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6100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6425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Vzorové listy VI.6,1 a VI.6.2.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podmínky 65, 66, 81, 100, 133, 169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30/2001 Sb.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730802 – Požární bezpečnost staveb – nevýrobní objekty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730810 – Požární bezpečnost staveb – společná ustanovení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050610 – Bezpečnostní předpisy pro svařování a řezání kovů plamenem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050630 – Bezpečnostní předpisy pro svařování a řezání kovů el. obloukem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Silničář/silničářka pro dopravní značení, 30.9.2026 1:44:21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s. r. o. Benešov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Silničář/silničářka pro dopravní značení, 30.9.2026 1:44:21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