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B7AC7F" Type="http://schemas.openxmlformats.org/officeDocument/2006/relationships/officeDocument" Target="/word/document.xml" /><Relationship Id="coreR31B7AC7F" Type="http://schemas.openxmlformats.org/package/2006/relationships/metadata/core-properties" Target="/docProps/core.xml" /><Relationship Id="customR31B7AC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Silničář/silničářka pro dopravní značení (kód: 36-180-H)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Silničář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 pro stavebně montážní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a osazování železobetonových základových bloků, sloupů, stožárů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celků, jejich spojování lemováním, pájením a nýtováním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Výroba, montáž, osazování a opravy dopravního značení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hmot; stanovení způsobu přípravy podkladu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Nanášení nátěrů štětcem, válečkem a stříkacím zařízením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Ošetřování a údržba použitých nástrojů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https://www.nsp.cz/jednotka-prace/silnicar#zdravotni-zpusobilost).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Účastník je předem informován o nutnosti vlastního vybavení předepsanými ochranými osobními pomůckami a vhodným oblečením pro vykonání práce dle zadání.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kritériium a) a b) je považováno uvedení příslušných norem a zvolení odpovídajícího řešení zadání činnosti podle předpisů platných v den zkoušky, resp. odpovídající řešení praktické části zadání s dosažením požadovaného stavu výrobku (dopravního značení) za dodržení všech předpisů, vč. BOZP, PO a OŽP.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rozhodování autorizované osoby o splnění odborné kompetence se vždy vychází z posouzení znalosti žadatele o ustanoveních příslušného předpisu, např. u velikosti značení, správného rozmístění, uspořádání vodorovného značení a pod. Posuzovaná je kvalita prací v oblasti praktické části, kdy je přímo v rámci zadání vždy konkretizován i rozsah prováděných prací, např. u nátěrů ploch a vodorovného značení.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zejména následujících norem a předpisů v platném znění s možným využitím materiálu Centra dopravního výzkumu, Ministerstva dopravy ČR "Zásady pro dopravní značení na pozemních komunikacích":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12899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12368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12767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1436 a 1463-1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6056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6100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6425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listy VI.6,1 a VI.6.2.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65, 66, 81, 100, 133, 169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30/2001 Sb.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– Požární bezpečnost staveb – nevýrobní objekty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– Požární bezpečnost staveb – společná ustanovení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 Benešov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