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12F3DEB3" Type="http://schemas.openxmlformats.org/officeDocument/2006/relationships/officeDocument" Target="/word/document.xml" /><Relationship Id="coreR12F3DEB3" Type="http://schemas.openxmlformats.org/package/2006/relationships/metadata/core-properties" Target="/docProps/core.xml" /><Relationship Id="customR12F3DEB3"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4376" w:h="794" w:hRule="exact" w:wrap="none" w:vAnchor="page" w:hAnchor="margin" w:x="6354" w:y="720"/>
        <w:rPr>
          <w:rStyle w:val="C4"/>
          <w:rtl w:val="0"/>
        </w:rPr>
      </w:pPr>
      <w:r>
        <w:rPr>
          <w:rStyle w:val="C4"/>
          <w:rtl w:val="0"/>
        </w:rPr>
        <w:t>Kvalifikační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Sesazovač pian (kód: 33-069-H)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Zpracování dřeva a výroba hudebních nástrojů (kód: 33)</w:t>
      </w:r>
    </w:p>
    <w:p>
      <w:pPr>
        <w:pStyle w:val="P5"/>
        <w:framePr w:w="4026" w:h="248" w:hRule="exact" w:wrap="none" w:vAnchor="page" w:hAnchor="margin" w:x="28" w:y="3784"/>
        <w:rPr>
          <w:rStyle w:val="C6"/>
          <w:rtl w:val="0"/>
        </w:rPr>
      </w:pPr>
      <w:r>
        <w:rPr>
          <w:rStyle w:val="C6"/>
          <w:rtl w:val="0"/>
        </w:rPr>
        <w:t>Týká se povolání:</w:t>
      </w:r>
    </w:p>
    <w:p>
      <w:pPr>
        <w:pStyle w:val="P6"/>
        <w:framePr w:w="6628" w:h="227" w:hRule="exact" w:wrap="none" w:vAnchor="page" w:hAnchor="margin" w:x="4110" w:y="3784"/>
        <w:rPr>
          <w:rStyle w:val="C7"/>
          <w:rtl w:val="0"/>
        </w:rPr>
      </w:pP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odborné terminologii při sesazení klávesových hudebních nástrojů</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Vestavba mechaniky a klávesnice klávesových hudebních nástrojů</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Klížení dusítek klávesových hudebních nástrojů</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Klížení kladívek klávesových hudebních nástrojů</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Úprava vzdálenosti kladívek od strun klávesových hudebních nástrojů</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Seřizování půlchodu, jazýčkové lišty, odpadu klávesových hudebních nástrojů</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Vyrovnávání klávesnice klávesových hudebních nástrojů</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Regulace pilot, podpasovávání klávesových hudebních nástrojů</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3</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Seřizování funkce pedálů klávesových hudebních nástrojů</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3</w:t>
      </w:r>
    </w:p>
    <w:p>
      <w:pPr>
        <w:pStyle w:val="P16"/>
        <w:framePr w:w="9826" w:h="376" w:hRule="exact" w:wrap="none" w:vAnchor="page" w:hAnchor="margin" w:x="45" w:y="9006"/>
        <w:rPr>
          <w:rStyle w:val="C3"/>
          <w:rtl w:val="0"/>
        </w:rPr>
      </w:pPr>
    </w:p>
    <w:p>
      <w:pPr>
        <w:pStyle w:val="P17"/>
        <w:framePr w:w="9774" w:h="249" w:hRule="exact" w:wrap="none" w:vAnchor="page" w:hAnchor="margin" w:x="71" w:y="9062"/>
        <w:rPr>
          <w:rStyle w:val="C13"/>
          <w:rtl w:val="0"/>
        </w:rPr>
      </w:pPr>
      <w:r>
        <w:rPr>
          <w:rStyle w:val="C13"/>
          <w:rtl w:val="0"/>
        </w:rPr>
        <w:t>Seřizování odskoku kladívek od strun, trajdání, vyrovnávání chytačů klávesových hudebních nástrojů</w:t>
      </w:r>
    </w:p>
    <w:p>
      <w:pPr>
        <w:pStyle w:val="P18"/>
        <w:framePr w:w="805" w:h="376" w:hRule="exact" w:wrap="none" w:vAnchor="page" w:hAnchor="margin" w:x="9916" w:y="9006"/>
        <w:rPr>
          <w:rStyle w:val="C3"/>
          <w:rtl w:val="0"/>
        </w:rPr>
      </w:pPr>
    </w:p>
    <w:p>
      <w:pPr>
        <w:pStyle w:val="P19"/>
        <w:framePr w:w="723" w:h="249" w:hRule="exact" w:wrap="none" w:vAnchor="page" w:hAnchor="margin" w:x="9972" w:y="9062"/>
        <w:rPr>
          <w:rStyle w:val="C14"/>
          <w:rtl w:val="0"/>
        </w:rPr>
      </w:pPr>
      <w:r>
        <w:rPr>
          <w:rStyle w:val="C14"/>
          <w:rtl w:val="0"/>
        </w:rPr>
        <w:t>3</w:t>
      </w:r>
    </w:p>
    <w:p>
      <w:pPr>
        <w:pStyle w:val="P12"/>
        <w:framePr w:w="9826" w:h="376" w:hRule="exact" w:wrap="none" w:vAnchor="page" w:hAnchor="margin" w:x="45" w:y="9382"/>
        <w:rPr>
          <w:rStyle w:val="C3"/>
          <w:rtl w:val="0"/>
        </w:rPr>
      </w:pPr>
    </w:p>
    <w:p>
      <w:pPr>
        <w:pStyle w:val="P13"/>
        <w:framePr w:w="9774" w:h="249" w:hRule="exact" w:wrap="none" w:vAnchor="page" w:hAnchor="margin" w:x="71" w:y="9438"/>
        <w:rPr>
          <w:rStyle w:val="C11"/>
          <w:rtl w:val="0"/>
        </w:rPr>
      </w:pPr>
      <w:r>
        <w:rPr>
          <w:rStyle w:val="C11"/>
          <w:rtl w:val="0"/>
        </w:rPr>
        <w:t>Vypracovávání klávesových hudebních nástrojů</w:t>
      </w:r>
    </w:p>
    <w:p>
      <w:pPr>
        <w:pStyle w:val="P14"/>
        <w:framePr w:w="805" w:h="376" w:hRule="exact" w:wrap="none" w:vAnchor="page" w:hAnchor="margin" w:x="9916" w:y="9382"/>
        <w:rPr>
          <w:rStyle w:val="C3"/>
          <w:rtl w:val="0"/>
        </w:rPr>
      </w:pPr>
    </w:p>
    <w:p>
      <w:pPr>
        <w:pStyle w:val="P15"/>
        <w:framePr w:w="723" w:h="249" w:hRule="exact" w:wrap="none" w:vAnchor="page" w:hAnchor="margin" w:x="9972" w:y="9438"/>
        <w:rPr>
          <w:rStyle w:val="C12"/>
          <w:rtl w:val="0"/>
        </w:rPr>
      </w:pPr>
      <w:r>
        <w:rPr>
          <w:rStyle w:val="C12"/>
          <w:rtl w:val="0"/>
        </w:rPr>
        <w:t>3</w:t>
      </w:r>
    </w:p>
    <w:p>
      <w:pPr>
        <w:pStyle w:val="P16"/>
        <w:framePr w:w="9826" w:h="376" w:hRule="exact" w:wrap="none" w:vAnchor="page" w:hAnchor="margin" w:x="45" w:y="9758"/>
        <w:rPr>
          <w:rStyle w:val="C3"/>
          <w:rtl w:val="0"/>
        </w:rPr>
      </w:pPr>
    </w:p>
    <w:p>
      <w:pPr>
        <w:pStyle w:val="P17"/>
        <w:framePr w:w="9774" w:h="249" w:hRule="exact" w:wrap="none" w:vAnchor="page" w:hAnchor="margin" w:x="71" w:y="9814"/>
        <w:rPr>
          <w:rStyle w:val="C13"/>
          <w:rtl w:val="0"/>
        </w:rPr>
      </w:pPr>
      <w:r>
        <w:rPr>
          <w:rStyle w:val="C13"/>
          <w:rtl w:val="0"/>
        </w:rPr>
        <w:t>Opravování klávesnice klávesových hudebních nástrojů</w:t>
      </w:r>
    </w:p>
    <w:p>
      <w:pPr>
        <w:pStyle w:val="P18"/>
        <w:framePr w:w="805" w:h="376" w:hRule="exact" w:wrap="none" w:vAnchor="page" w:hAnchor="margin" w:x="9916" w:y="9758"/>
        <w:rPr>
          <w:rStyle w:val="C3"/>
          <w:rtl w:val="0"/>
        </w:rPr>
      </w:pPr>
    </w:p>
    <w:p>
      <w:pPr>
        <w:pStyle w:val="P19"/>
        <w:framePr w:w="723" w:h="249" w:hRule="exact" w:wrap="none" w:vAnchor="page" w:hAnchor="margin" w:x="9972" w:y="9814"/>
        <w:rPr>
          <w:rStyle w:val="C14"/>
          <w:rtl w:val="0"/>
        </w:rPr>
      </w:pPr>
      <w:r>
        <w:rPr>
          <w:rStyle w:val="C14"/>
          <w:rtl w:val="0"/>
        </w:rPr>
        <w:t>3</w:t>
      </w:r>
    </w:p>
    <w:p>
      <w:pPr>
        <w:pStyle w:val="P12"/>
        <w:framePr w:w="9826" w:h="376" w:hRule="exact" w:wrap="none" w:vAnchor="page" w:hAnchor="margin" w:x="45" w:y="10134"/>
        <w:rPr>
          <w:rStyle w:val="C3"/>
          <w:rtl w:val="0"/>
        </w:rPr>
      </w:pPr>
    </w:p>
    <w:p>
      <w:pPr>
        <w:pStyle w:val="P13"/>
        <w:framePr w:w="9774" w:h="249" w:hRule="exact" w:wrap="none" w:vAnchor="page" w:hAnchor="margin" w:x="71" w:y="10190"/>
        <w:rPr>
          <w:rStyle w:val="C11"/>
          <w:rtl w:val="0"/>
        </w:rPr>
      </w:pPr>
      <w:r>
        <w:rPr>
          <w:rStyle w:val="C11"/>
          <w:rtl w:val="0"/>
        </w:rPr>
        <w:t>Opravování poškození mechanikových dílků klávesových hudebních nástrojů</w:t>
      </w:r>
    </w:p>
    <w:p>
      <w:pPr>
        <w:pStyle w:val="P14"/>
        <w:framePr w:w="805" w:h="376" w:hRule="exact" w:wrap="none" w:vAnchor="page" w:hAnchor="margin" w:x="9916" w:y="10134"/>
        <w:rPr>
          <w:rStyle w:val="C3"/>
          <w:rtl w:val="0"/>
        </w:rPr>
      </w:pPr>
    </w:p>
    <w:p>
      <w:pPr>
        <w:pStyle w:val="P15"/>
        <w:framePr w:w="723" w:h="249" w:hRule="exact" w:wrap="none" w:vAnchor="page" w:hAnchor="margin" w:x="9972" w:y="10190"/>
        <w:rPr>
          <w:rStyle w:val="C12"/>
          <w:rtl w:val="0"/>
        </w:rPr>
      </w:pPr>
      <w:r>
        <w:rPr>
          <w:rStyle w:val="C12"/>
          <w:rtl w:val="0"/>
        </w:rPr>
        <w:t>3</w:t>
      </w:r>
    </w:p>
    <w:p>
      <w:pPr>
        <w:pStyle w:val="P7"/>
        <w:framePr w:w="8788" w:h="340" w:hRule="exact" w:wrap="none" w:vAnchor="page" w:hAnchor="margin" w:x="28" w:y="10737"/>
        <w:rPr>
          <w:rStyle w:val="C8"/>
          <w:rtl w:val="0"/>
        </w:rPr>
      </w:pPr>
      <w:r>
        <w:rPr>
          <w:rStyle w:val="C8"/>
          <w:rtl w:val="0"/>
        </w:rPr>
        <w:t>Platnost standardu</w:t>
      </w:r>
    </w:p>
    <w:p>
      <w:pPr>
        <w:pStyle w:val="P20"/>
        <w:framePr w:w="4283" w:h="248" w:hRule="exact" w:wrap="none" w:vAnchor="page" w:hAnchor="margin" w:x="28" w:y="11078"/>
        <w:rPr>
          <w:rStyle w:val="C15"/>
          <w:rtl w:val="0"/>
        </w:rPr>
      </w:pPr>
      <w:r>
        <w:rPr>
          <w:rStyle w:val="C15"/>
          <w:rtl w:val="0"/>
        </w:rPr>
        <w:t>Standard je platný od: 19.06.2020 do: 20.10.2022</w:t>
      </w:r>
    </w:p>
    <w:p>
      <w:pPr>
        <w:pStyle w:val="P21"/>
        <w:framePr w:w="7654" w:h="331" w:hRule="exact" w:wrap="none" w:vAnchor="page" w:hAnchor="margin" w:x="28" w:y="15940"/>
        <w:rPr>
          <w:rStyle w:val="C16"/>
          <w:rtl w:val="0"/>
        </w:rPr>
      </w:pPr>
      <w:r>
        <w:rPr>
          <w:rStyle w:val="C16"/>
          <w:rtl w:val="0"/>
        </w:rPr>
        <w:t>Sesazovač pian, 20.8.2026 19:07:51</w:t>
      </w:r>
    </w:p>
    <w:p>
      <w:pPr>
        <w:pStyle w:val="P22"/>
        <w:framePr w:w="2790" w:h="331" w:hRule="exact" w:wrap="none" w:vAnchor="page" w:hAnchor="margin" w:x="7911" w:y="15940"/>
        <w:rPr>
          <w:rStyle w:val="C17"/>
          <w:rtl w:val="0"/>
        </w:rPr>
      </w:pPr>
      <w:r>
        <w:rPr>
          <w:rStyle w:val="C17"/>
          <w:rtl w:val="0"/>
        </w:rPr>
        <w:t>Strana 1 z 3</w:t>
      </w:r>
    </w:p>
    <w:p>
      <w:pPr>
        <w:rPr>
          <w:rtl w:val="0"/>
        </w:rPr>
        <w:sectPr>
          <w:type w:val="nextPage"/>
          <w:pgSz w:w="11908" w:h="16833"/>
          <w:pgMar w:left="572" w:right="566" w:top="566" w:bottom="566" w:header="720" w:footer="720" w:gutter="0"/>
          <w:formProt w:val="0"/>
        </w:sectPr>
      </w:pPr>
    </w:p>
    <w:p>
      <w:pPr>
        <w:pStyle w:val="P1"/>
        <w:framePr w:w="4376" w:h="794" w:hRule="exact" w:wrap="none" w:vAnchor="page" w:hAnchor="margin" w:x="6354" w:y="720"/>
        <w:rPr>
          <w:rStyle w:val="C4"/>
          <w:rtl w:val="0"/>
        </w:rPr>
      </w:pPr>
      <w:r>
        <w:rPr>
          <w:rStyle w:val="C4"/>
          <w:rtl w:val="0"/>
        </w:rPr>
        <w:t>Kvalifikační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66" w:h="10054" w:hRule="exact" w:wrap="none" w:vAnchor="page" w:hAnchor="margin" w:x="0" w:y="2154"/>
        <w:rPr>
          <w:rStyle w:val="C3"/>
          <w:rtl w:val="0"/>
        </w:rPr>
      </w:pPr>
    </w:p>
    <w:p>
      <w:pPr>
        <w:pStyle w:val="P24"/>
        <w:framePr w:w="10710" w:h="340" w:hRule="exact" w:wrap="none" w:vAnchor="page" w:hAnchor="margin" w:x="28" w:y="2154"/>
        <w:rPr>
          <w:rStyle w:val="C18"/>
          <w:rtl w:val="0"/>
        </w:rPr>
      </w:pPr>
      <w:r>
        <w:rPr>
          <w:rStyle w:val="C18"/>
          <w:rtl w:val="0"/>
        </w:rPr>
        <w:t>Organizační a metodické pokyny</w:t>
      </w:r>
    </w:p>
    <w:p>
      <w:pPr>
        <w:pStyle w:val="P25"/>
        <w:framePr w:w="10710" w:h="340" w:hRule="exact" w:wrap="none" w:vAnchor="page" w:hAnchor="margin" w:x="28" w:y="2494"/>
        <w:rPr>
          <w:rStyle w:val="C19"/>
          <w:rtl w:val="0"/>
        </w:rPr>
      </w:pPr>
      <w:r>
        <w:rPr>
          <w:rStyle w:val="C19"/>
          <w:rtl w:val="0"/>
        </w:rPr>
        <w:t>Pokyny k realizaci zkoušky</w:t>
      </w:r>
    </w:p>
    <w:p>
      <w:pPr>
        <w:keepNext w:val="0"/>
        <w:keepLines w:val="0"/>
        <w:framePr w:w="10766" w:h="937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937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w:t>
      </w:r>
    </w:p>
    <w:p>
      <w:pPr>
        <w:keepNext w:val="0"/>
        <w:keepLines w:val="0"/>
        <w:framePr w:w="10766" w:h="937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37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AOs do Záznamu o průběhu a výsledku zkoušky. Uchazeč může ukončit zkoušku kdykoliv v jejím průběhu, a to na vlastní žádost.</w:t>
      </w:r>
    </w:p>
    <w:p>
      <w:pPr>
        <w:keepNext w:val="0"/>
        <w:keepLines w:val="0"/>
        <w:framePr w:w="10766" w:h="937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37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vykonávání pracovních činností této profesní kvalifikace je vyžadována a prokazuje se lékařským potvrzením (odkaz na povolání v NSP - https://www.nsp.cz/jednotka-prace/pracovnik-pro-povrchovou-#zdravotni-zpusobilost).</w:t>
      </w:r>
    </w:p>
    <w:p>
      <w:pPr>
        <w:keepNext w:val="0"/>
        <w:keepLines w:val="0"/>
        <w:framePr w:w="10766" w:h="937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37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při zkoušce sesadí pianino nebo klavír a předvede správnou funkčnost nástroje.</w:t>
      </w:r>
    </w:p>
    <w:p>
      <w:pPr>
        <w:keepNext w:val="0"/>
        <w:keepLines w:val="0"/>
        <w:framePr w:w="10766" w:h="937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Při ověřování kritérií hodnocení způsobem ověření </w:t>
      </w:r>
      <w:r>
        <w:rPr>
          <w:rFonts w:ascii="Arial" w:cs="Arial" w:hAnsi="Arial" w:eastAsia="Arial"/>
          <w:b w:val="1"/>
          <w:i w:val="0"/>
          <w:caps w:val="0"/>
          <w:strike w:val="0"/>
          <w:noProof w:val="0"/>
          <w:vanish w:val="0"/>
          <w:color w:val="auto"/>
          <w:sz w:val="20"/>
          <w:u w:val="none"/>
          <w:shd w:val="clear" w:color="auto" w:fill="auto"/>
          <w:vertAlign w:val="baseline"/>
          <w:lang/>
        </w:rPr>
        <w:t xml:space="preserve">praktické předvedení a ústní ověření </w:t>
      </w:r>
      <w:r>
        <w:rPr>
          <w:rFonts w:ascii="Arial" w:cs="Arial" w:hAnsi="Arial" w:eastAsia="Arial"/>
          <w:b w:val="0"/>
          <w:i w:val="0"/>
          <w:caps w:val="0"/>
          <w:strike w:val="0"/>
          <w:noProof w:val="0"/>
          <w:vanish w:val="0"/>
          <w:color w:val="auto"/>
          <w:sz w:val="20"/>
          <w:u w:val="none"/>
          <w:shd w:val="clear" w:color="auto" w:fill="auto"/>
          <w:vertAlign w:val="baseline"/>
          <w:lang/>
        </w:rPr>
        <w:t>se požaduje stručné slovní doplnění předvedené činnosti ve smyslu vysvětlení nebo obhajoby zvoleného procesu řešení sesazení či oprav. Při hodnocení splnění kritérií hodnocení bude posuzováno jejich precizní provedení, výsledná funkčnost mechaniky hudebního nástroje, manuální zručnost uchazeče a dodržování předpisů BOZP a PO.</w:t>
      </w:r>
    </w:p>
    <w:p>
      <w:pPr>
        <w:keepNext w:val="0"/>
        <w:keepLines w:val="0"/>
        <w:framePr w:w="10766" w:h="937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37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 kompetenci "Orientace v odborné terminologii při sesazení klávesových hudebních nástrojů"</w:t>
      </w:r>
    </w:p>
    <w:p>
      <w:pPr>
        <w:keepNext w:val="0"/>
        <w:keepLines w:val="0"/>
        <w:framePr w:w="10766" w:h="937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v kritériu s) uchazeč popíše a vysvětlí možné opravy poškozených mechanikových dílků: </w:t>
      </w:r>
    </w:p>
    <w:p>
      <w:pPr>
        <w:keepNext w:val="0"/>
        <w:keepLines w:val="1"/>
        <w:framePr w:w="10766" w:h="9374"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•popíše poškození od molů; </w:t>
      </w:r>
    </w:p>
    <w:p>
      <w:pPr>
        <w:keepNext w:val="0"/>
        <w:keepLines w:val="1"/>
        <w:framePr w:w="10766" w:h="9374"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•popíše přeosování dílků (měření osovacího drátu, výměna osičky);</w:t>
      </w:r>
    </w:p>
    <w:p>
      <w:pPr>
        <w:keepNext w:val="0"/>
        <w:keepLines w:val="1"/>
        <w:framePr w:w="10766" w:h="9374"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•popíše poškození kašmíru, vysvětlí překašmírování dílků;</w:t>
      </w:r>
    </w:p>
    <w:p>
      <w:pPr>
        <w:keepNext w:val="0"/>
        <w:keepLines w:val="1"/>
        <w:framePr w:w="10766" w:h="9374"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•popíše mechanické poškození dílků a navrhne opravu prasklých, uvolněných a jinak poškozených mechanikových dílků;</w:t>
      </w:r>
    </w:p>
    <w:p>
      <w:pPr>
        <w:keepNext w:val="0"/>
        <w:keepLines w:val="1"/>
        <w:framePr w:w="10766" w:h="9374"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•popíše měření a výměnu prasklých pružinek;</w:t>
      </w:r>
    </w:p>
    <w:p>
      <w:pPr>
        <w:keepNext w:val="0"/>
        <w:keepLines w:val="1"/>
        <w:framePr w:w="10766" w:h="9374"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•popíše výměnu tkanic;</w:t>
      </w:r>
    </w:p>
    <w:p>
      <w:pPr>
        <w:keepNext w:val="0"/>
        <w:keepLines w:val="1"/>
        <w:framePr w:w="10766" w:h="9374"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•popíše broušení kladívek.</w:t>
      </w:r>
    </w:p>
    <w:p>
      <w:pPr>
        <w:keepNext w:val="0"/>
        <w:keepLines w:val="0"/>
        <w:framePr w:w="10766" w:h="937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v kritériu t) uchazeč popíše a vysvětlí možné opravy klávesnice:</w:t>
      </w:r>
    </w:p>
    <w:p>
      <w:pPr>
        <w:keepNext w:val="0"/>
        <w:keepLines w:val="1"/>
        <w:framePr w:w="10766" w:h="9374" w:hRule="exact" w:wrap="none" w:vAnchor="page" w:hAnchor="margin" w:x="0" w:y="283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•popíše poškození od molů; </w:t>
      </w:r>
    </w:p>
    <w:p>
      <w:pPr>
        <w:keepNext w:val="0"/>
        <w:keepLines w:val="1"/>
        <w:framePr w:w="10766" w:h="9374" w:hRule="exact" w:wrap="none" w:vAnchor="page" w:hAnchor="margin" w:x="0" w:y="283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•popíše a vysvětlí úpravu kláves na vodicím a váhovém hřebu;</w:t>
      </w:r>
    </w:p>
    <w:p>
      <w:pPr>
        <w:keepNext w:val="0"/>
        <w:keepLines w:val="1"/>
        <w:framePr w:w="10766" w:h="9374" w:hRule="exact" w:wrap="none" w:vAnchor="page" w:hAnchor="margin" w:x="0" w:y="283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•popíše a vysvětlí čištění (a bělení) kláves; </w:t>
      </w:r>
    </w:p>
    <w:p>
      <w:pPr>
        <w:keepNext w:val="0"/>
        <w:keepLines w:val="1"/>
        <w:framePr w:w="10766" w:h="9374" w:hRule="exact" w:wrap="none" w:vAnchor="page" w:hAnchor="margin" w:x="0" w:y="283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•popíše druhy a výměnu klávesového obložení.</w:t>
      </w:r>
    </w:p>
    <w:p>
      <w:pPr>
        <w:keepNext w:val="0"/>
        <w:keepLines w:val="0"/>
        <w:framePr w:w="10766" w:h="937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Sesazovač pian, 20.8.2026 19:07:51</w:t>
      </w:r>
    </w:p>
    <w:p>
      <w:pPr>
        <w:pStyle w:val="P22"/>
        <w:framePr w:w="2790" w:h="331" w:hRule="exact" w:wrap="none" w:vAnchor="page" w:hAnchor="margin" w:x="7911" w:y="15940"/>
        <w:rPr>
          <w:rStyle w:val="C17"/>
          <w:rtl w:val="0"/>
        </w:rPr>
      </w:pPr>
      <w:r>
        <w:rPr>
          <w:rStyle w:val="C17"/>
          <w:rtl w:val="0"/>
        </w:rPr>
        <w:t>Strana 2 z 3</w:t>
      </w:r>
    </w:p>
    <w:p>
      <w:pPr>
        <w:rPr>
          <w:rtl w:val="0"/>
        </w:rPr>
        <w:sectPr>
          <w:type w:val="nextPage"/>
          <w:pgSz w:w="11908" w:h="16833"/>
          <w:pgMar w:left="572" w:right="566" w:top="566" w:bottom="566" w:header="720" w:footer="720" w:gutter="0"/>
          <w:formProt w:val="0"/>
        </w:sectPr>
      </w:pPr>
    </w:p>
    <w:p>
      <w:pPr>
        <w:pStyle w:val="P1"/>
        <w:framePr w:w="4376" w:h="794" w:hRule="exact" w:wrap="none" w:vAnchor="page" w:hAnchor="margin" w:x="6354" w:y="720"/>
        <w:rPr>
          <w:rStyle w:val="C4"/>
          <w:rtl w:val="0"/>
        </w:rPr>
      </w:pPr>
      <w:r>
        <w:rPr>
          <w:rStyle w:val="C4"/>
          <w:rtl w:val="0"/>
        </w:rPr>
        <w:t>Kvalifikační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27"/>
        <w:framePr w:w="10710" w:h="282" w:hRule="exact" w:wrap="none" w:vAnchor="page" w:hAnchor="margin" w:x="28" w:y="2721"/>
        <w:rPr>
          <w:rStyle w:val="C20"/>
          <w:rtl w:val="0"/>
        </w:rPr>
      </w:pPr>
      <w:r>
        <w:rPr>
          <w:rStyle w:val="C20"/>
          <w:rtl w:val="0"/>
        </w:rPr>
        <w:t>Autoři kvalifikačního standardu</w:t>
      </w:r>
    </w:p>
    <w:p>
      <w:pPr>
        <w:keepNext w:val="0"/>
        <w:keepLines w:val="0"/>
        <w:framePr w:w="10766" w:h="211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Kvalifikační standard profesní kvalifikace připravila SR pro dřevozpracující a papírenský průmysl, ustavená a licencovaná pro tuto činnost HK ČR a SP ČR.</w:t>
      </w:r>
    </w:p>
    <w:p>
      <w:pPr>
        <w:keepNext w:val="0"/>
        <w:keepLines w:val="0"/>
        <w:framePr w:w="10766" w:h="211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11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11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Petrof spol. s r. o., Hradec Králové</w:t>
      </w:r>
    </w:p>
    <w:p>
      <w:pPr>
        <w:keepNext w:val="0"/>
        <w:keepLines w:val="0"/>
        <w:framePr w:w="10766" w:h="211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uměleckoprůmyslová škola hudebních nástrojů a nábytku, Hradec Králové</w:t>
      </w:r>
    </w:p>
    <w:p>
      <w:pPr>
        <w:keepNext w:val="0"/>
        <w:keepLines w:val="0"/>
        <w:framePr w:w="10766" w:h="211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Český klavírnický svaz, Hradec Králové</w:t>
      </w:r>
    </w:p>
    <w:p>
      <w:pPr>
        <w:keepNext w:val="0"/>
        <w:keepLines w:val="0"/>
        <w:framePr w:w="10766" w:h="211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 Bechstein Europe s. r. o., Hradec Králové</w:t>
      </w:r>
    </w:p>
    <w:p>
      <w:pPr>
        <w:keepNext w:val="0"/>
        <w:keepLines w:val="0"/>
        <w:framePr w:w="10766" w:h="211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Sesazovač pian, 20.8.2026 19:07:51</w:t>
      </w:r>
    </w:p>
    <w:p>
      <w:pPr>
        <w:pStyle w:val="P22"/>
        <w:framePr w:w="2790" w:h="331" w:hRule="exact" w:wrap="none" w:vAnchor="page" w:hAnchor="margin" w:x="7911" w:y="15940"/>
        <w:rPr>
          <w:rStyle w:val="C17"/>
          <w:rtl w:val="0"/>
        </w:rPr>
      </w:pPr>
      <w:r>
        <w:rPr>
          <w:rStyle w:val="C17"/>
          <w:rtl w:val="0"/>
        </w:rPr>
        <w:t>Strana 3 z 3</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72CF139E"/>
    <w:multiLevelType w:val="hybridMultilevel"/>
    <w:lvl w:ilvl="0" w:tplc="00000100">
      <w:start w:val="1"/>
      <w:numFmt w:val="bullet"/>
      <w:suff w:val="tab"/>
      <w:lvlText w:val="·"/>
      <w:lvlJc w:val="left"/>
      <w:pPr>
        <w:widowControl w:val="0"/>
        <w:ind w:hanging="360" w:left="360"/>
      </w:pPr>
      <w:rPr>
        <w:rFonts w:ascii="Symbol" w:cs="Symbol" w:hAnsi="Symbol" w:eastAsia="Symbol"/>
      </w:rPr>
    </w:lvl>
    <w:lvl w:ilvl="1" w:tplc="00000101">
      <w:start w:val="1"/>
      <w:numFmt w:val="bullet"/>
      <w:suff w:val="tab"/>
      <w:lvlText w:val="·"/>
      <w:lvlJc w:val="left"/>
      <w:pPr>
        <w:widowControl w:val="0"/>
        <w:ind w:hanging="360" w:left="720"/>
      </w:pPr>
      <w:rPr>
        <w:rFonts w:ascii="Symbol" w:cs="Symbol" w:hAnsi="Symbol" w:eastAsia="Symbol"/>
      </w:rPr>
    </w:lvl>
    <w:lvl w:ilvl="2" w:tplc="00000102">
      <w:start w:val="1"/>
      <w:numFmt w:val="bullet"/>
      <w:suff w:val="tab"/>
      <w:lvlText w:val="·"/>
      <w:lvlJc w:val="left"/>
      <w:pPr>
        <w:widowControl w:val="0"/>
        <w:ind w:hanging="360" w:left="1080"/>
      </w:pPr>
      <w:rPr>
        <w:rFonts w:ascii="Symbol" w:cs="Symbol" w:hAnsi="Symbol" w:eastAsia="Symbol"/>
      </w:rPr>
    </w:lvl>
    <w:lvl w:ilvl="3" w:tplc="00000103">
      <w:start w:val="1"/>
      <w:numFmt w:val="bullet"/>
      <w:suff w:val="tab"/>
      <w:lvlText w:val="·"/>
      <w:lvlJc w:val="left"/>
      <w:pPr>
        <w:widowControl w:val="0"/>
        <w:ind w:hanging="360" w:left="1440"/>
      </w:pPr>
      <w:rPr>
        <w:rFonts w:ascii="Symbol" w:cs="Symbol" w:hAnsi="Symbol" w:eastAsia="Symbol"/>
      </w:rPr>
    </w:lvl>
    <w:lvl w:ilvl="4" w:tplc="00000104">
      <w:start w:val="1"/>
      <w:numFmt w:val="bullet"/>
      <w:suff w:val="tab"/>
      <w:lvlText w:val="·"/>
      <w:lvlJc w:val="left"/>
      <w:pPr>
        <w:widowControl w:val="0"/>
        <w:ind w:hanging="360" w:left="1800"/>
      </w:pPr>
      <w:rPr>
        <w:rFonts w:ascii="Symbol" w:cs="Symbol" w:hAnsi="Symbol" w:eastAsia="Symbol"/>
      </w:rPr>
    </w:lvl>
    <w:lvl w:ilvl="5" w:tplc="00000105">
      <w:start w:val="1"/>
      <w:numFmt w:val="bullet"/>
      <w:suff w:val="tab"/>
      <w:lvlText w:val="·"/>
      <w:lvlJc w:val="left"/>
      <w:pPr>
        <w:widowControl w:val="0"/>
        <w:ind w:hanging="360" w:left="2160"/>
      </w:pPr>
      <w:rPr>
        <w:rFonts w:ascii="Symbol" w:cs="Symbol" w:hAnsi="Symbol" w:eastAsia="Symbol"/>
      </w:rPr>
    </w:lvl>
    <w:lvl w:ilvl="6" w:tplc="00000106">
      <w:start w:val="1"/>
      <w:numFmt w:val="bullet"/>
      <w:suff w:val="tab"/>
      <w:lvlText w:val="·"/>
      <w:lvlJc w:val="left"/>
      <w:pPr>
        <w:widowControl w:val="0"/>
        <w:ind w:hanging="360" w:left="2520"/>
      </w:pPr>
      <w:rPr>
        <w:rFonts w:ascii="Symbol" w:cs="Symbol" w:hAnsi="Symbol" w:eastAsia="Symbol"/>
      </w:rPr>
    </w:lvl>
    <w:lvl w:ilvl="7" w:tplc="00000107">
      <w:start w:val="1"/>
      <w:numFmt w:val="bullet"/>
      <w:suff w:val="tab"/>
      <w:lvlText w:val="·"/>
      <w:lvlJc w:val="left"/>
      <w:pPr>
        <w:widowControl w:val="0"/>
        <w:ind w:hanging="360" w:left="2880"/>
      </w:pPr>
      <w:rPr>
        <w:rFonts w:ascii="Symbol" w:cs="Symbol" w:hAnsi="Symbol" w:eastAsia="Symbol"/>
      </w:rPr>
    </w:lvl>
    <w:lvl w:ilvl="8" w:tplc="00000108">
      <w:start w:val="1"/>
      <w:numFmt w:val="bullet"/>
      <w:suff w:val="tab"/>
      <w:lvlText w:val="·"/>
      <w:lvlJc w:val="left"/>
      <w:pPr>
        <w:widowControl w:val="0"/>
        <w:ind w:hanging="360" w:left="3240"/>
      </w:pPr>
      <w:rPr>
        <w:rFonts w:ascii="Symbol" w:cs="Symbol" w:hAnsi="Symbol" w:eastAsia="Symbol"/>
      </w:rPr>
    </w:lvl>
  </w:abstractNum>
  <w:abstractNum w:abstractNumId="1">
    <w:nsid w:val="76DBF11C"/>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shd w:val="clear" w:fill="auto"/>
      <w:bidi w:val="0"/>
      <w:jc w:val="left"/>
    </w:pPr>
  </w:style>
  <w:style w:type="paragraph" w:styleId="P24">
    <w:name w:val="ParagraphStyle23"/>
    <w:hidden/>
    <w:pPr>
      <w:bidi w:val="0"/>
      <w:jc w:val="left"/>
    </w:pPr>
  </w:style>
  <w:style w:type="paragraph" w:styleId="P25">
    <w:name w:val="ParagraphStyle24"/>
    <w:hidden/>
    <w:pPr>
      <w:bidi w:val="0"/>
      <w:jc w:val="left"/>
    </w:pPr>
  </w:style>
  <w:style w:type="paragraph" w:styleId="P26">
    <w:name w:val="ParagraphStyle25"/>
    <w:hidden/>
    <w:pPr>
      <w:shd w:val="clear" w:fill="auto"/>
      <w:bidi w:val="0"/>
      <w:jc w:val="left"/>
    </w:pPr>
  </w:style>
  <w:style w:type="paragraph" w:styleId="P27">
    <w:name w:val="ParagraphStyle26"/>
    <w:hidden/>
    <w:pPr>
      <w:bidi w:val="0"/>
      <w:jc w:val="left"/>
    </w:pPr>
  </w:style>
  <w:style w:type="paragraph" w:styleId="P28">
    <w:name w:val="ParagraphStyle2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4"/>
      <w:szCs w:val="24"/>
      <w:u w:val="none"/>
    </w:rPr>
  </w:style>
  <w:style w:type="character" w:styleId="C19">
    <w:name w:val="CharacterStyle15"/>
    <w:hidden/>
    <w:rPr>
      <w:rFonts w:ascii="Arial" w:cs="Arial" w:hAnsi="Arial" w:eastAsia="Arial"/>
      <w:b w:val="1"/>
      <w:i w:val="0"/>
      <w:strike w:val="0"/>
      <w:noProof w:val="1"/>
      <w:color w:val="000000"/>
      <w:sz w:val="22"/>
      <w:szCs w:val="22"/>
      <w:u w:val="none"/>
    </w:rPr>
  </w:style>
  <w:style w:type="character" w:styleId="C20">
    <w:name w:val="CharacterStyle16"/>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