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09C1A6" Type="http://schemas.openxmlformats.org/officeDocument/2006/relationships/officeDocument" Target="/word/document.xml" /><Relationship Id="coreR5D09C1A6" Type="http://schemas.openxmlformats.org/package/2006/relationships/metadata/core-properties" Target="/docProps/core.xml" /><Relationship Id="customR5D09C1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důlní klimatizace (kód: 21-088-M)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technických normách upravujících oblast chlazení, klimatizace a chladiv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důlní klimatizace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indikace a detekce důlního ovzduší na důlních pracovištích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údržby, oprav klimatizačních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Vedoucí důlní klimatizace, 28.5.2026 0:57:08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technických normách upravujících oblast chlazení, klimatizace a chladiv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systém technologie důlní klimatizace (zařízení pro úpravu teploty, vlhkosti, čistoty a proudění vzduchu)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 287 (Chladicí zařízení důlních větrů), § 288 (Nestacionární chladicí zařízení důlních větrů) a § 289 (Stacionární chladicí zařízení důlních větrů) vyhlášky ČBÚ č. 22/1989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nařízení vlády č. 361/2007 Sb., (podmínky ochrany zdraví při práci teploty, vlhkosti, rychlosti proudění, koncentrace, dávky čerstvého vzduchu) ve vazbě na klimatické podmínky důlního provozu</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Popsat na provozní dokumentaci zařízení důlní klimatizace a její funkce (chladicí agregáty, kompresory, chladicí potrubí, chladící medium, chladiče větrů)</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vysvětlení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Zajišťování provozu důlní klimatizace</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Vysvětlit na provozní dokumentaci systém a funkci důlní centrální klimatizaci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Popsat a ukázat na projektové dokumentaci zařízení důlní klimatizace a její funkce (chladicí agregáty, kompresory, chladicí potrubí, chladící medium, chladiče větrů)</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vysvětlení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Navrhnout řešení chlazení důlních větrů pomocí důlní úsekové klimatizace</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 a ústní vysvětlení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d) Popsat činnosti vedoucího důlní klimatizace při řízení provozu a údržby zařízení důlní klimatizace</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e) Vysvětlit ukazatele a jejich limity sledující systém důlní klimatizace</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Provádění indikace a detekce důlního ovzduší na důlních pracovištích</w:t>
      </w:r>
    </w:p>
    <w:p>
      <w:pPr>
        <w:pStyle w:val="P24"/>
        <w:framePr w:w="6713" w:h="376" w:hRule="exact" w:wrap="none" w:vAnchor="page" w:hAnchor="margin" w:x="45" w:y="11777"/>
        <w:rPr>
          <w:rStyle w:val="C3"/>
          <w:rtl w:val="0"/>
        </w:rPr>
      </w:pPr>
    </w:p>
    <w:p>
      <w:pPr>
        <w:pStyle w:val="P25"/>
        <w:framePr w:w="6661" w:h="249" w:hRule="exact" w:wrap="none" w:vAnchor="page" w:hAnchor="margin" w:x="71" w:y="11848"/>
        <w:rPr>
          <w:rStyle w:val="C19"/>
          <w:rtl w:val="0"/>
        </w:rPr>
      </w:pPr>
      <w:r>
        <w:rPr>
          <w:rStyle w:val="C19"/>
          <w:rtl w:val="0"/>
        </w:rPr>
        <w:t>Kritéria hodnocení</w:t>
      </w:r>
    </w:p>
    <w:p>
      <w:pPr>
        <w:pStyle w:val="P26"/>
        <w:framePr w:w="3918" w:h="376" w:hRule="exact" w:wrap="none" w:vAnchor="page" w:hAnchor="margin" w:x="6803" w:y="11777"/>
        <w:rPr>
          <w:rStyle w:val="C3"/>
          <w:rtl w:val="0"/>
        </w:rPr>
      </w:pPr>
    </w:p>
    <w:p>
      <w:pPr>
        <w:pStyle w:val="P27"/>
        <w:framePr w:w="3836" w:h="249" w:hRule="exact" w:wrap="none" w:vAnchor="page" w:hAnchor="margin" w:x="6859" w:y="11848"/>
        <w:rPr>
          <w:rStyle w:val="C20"/>
          <w:rtl w:val="0"/>
        </w:rPr>
      </w:pPr>
      <w:r>
        <w:rPr>
          <w:rStyle w:val="C20"/>
          <w:rtl w:val="0"/>
        </w:rPr>
        <w:t>Způsoby ověření</w:t>
      </w:r>
    </w:p>
    <w:p>
      <w:pPr>
        <w:pStyle w:val="P12"/>
        <w:framePr w:w="6710" w:h="607" w:hRule="exact" w:wrap="none" w:vAnchor="page" w:hAnchor="margin" w:x="45" w:y="12154"/>
        <w:rPr>
          <w:rStyle w:val="C3"/>
          <w:rtl w:val="0"/>
        </w:rPr>
      </w:pPr>
    </w:p>
    <w:p>
      <w:pPr>
        <w:pStyle w:val="P13"/>
        <w:framePr w:w="6658" w:h="480" w:hRule="exact" w:wrap="none" w:vAnchor="page" w:hAnchor="margin" w:x="71" w:y="12210"/>
        <w:rPr>
          <w:rStyle w:val="C11"/>
          <w:rtl w:val="0"/>
        </w:rPr>
      </w:pPr>
      <w:r>
        <w:rPr>
          <w:rStyle w:val="C11"/>
          <w:rtl w:val="0"/>
        </w:rPr>
        <w:t>a) Popsat přenosný přístroj pro měření výbušných plynů, radonu a dalších plynů</w:t>
      </w:r>
    </w:p>
    <w:p>
      <w:pPr>
        <w:pStyle w:val="P28"/>
        <w:framePr w:w="3921" w:h="607" w:hRule="exact" w:wrap="none" w:vAnchor="page" w:hAnchor="margin" w:x="6800" w:y="12154"/>
        <w:rPr>
          <w:rStyle w:val="C3"/>
          <w:rtl w:val="0"/>
        </w:rPr>
      </w:pPr>
    </w:p>
    <w:p>
      <w:pPr>
        <w:pStyle w:val="P29"/>
        <w:framePr w:w="3839" w:h="480" w:hRule="exact" w:wrap="none" w:vAnchor="page" w:hAnchor="margin" w:x="6856" w:y="12210"/>
        <w:rPr>
          <w:rStyle w:val="C21"/>
          <w:rtl w:val="0"/>
        </w:rPr>
      </w:pPr>
      <w:r>
        <w:rPr>
          <w:rStyle w:val="C21"/>
          <w:rtl w:val="0"/>
        </w:rPr>
        <w:t>Praktické předvedení</w:t>
      </w:r>
    </w:p>
    <w:p>
      <w:pPr>
        <w:pStyle w:val="P16"/>
        <w:framePr w:w="6710" w:h="376" w:hRule="exact" w:wrap="none" w:vAnchor="page" w:hAnchor="margin" w:x="45" w:y="12761"/>
        <w:rPr>
          <w:rStyle w:val="C3"/>
          <w:rtl w:val="0"/>
        </w:rPr>
      </w:pPr>
    </w:p>
    <w:p>
      <w:pPr>
        <w:pStyle w:val="P17"/>
        <w:framePr w:w="6658" w:h="249" w:hRule="exact" w:wrap="none" w:vAnchor="page" w:hAnchor="margin" w:x="71" w:y="12817"/>
        <w:rPr>
          <w:rStyle w:val="C13"/>
          <w:rtl w:val="0"/>
        </w:rPr>
      </w:pPr>
      <w:r>
        <w:rPr>
          <w:rStyle w:val="C13"/>
          <w:rtl w:val="0"/>
        </w:rPr>
        <w:t>b) Provést měření metanu, radonu a dalších plynů</w:t>
      </w:r>
    </w:p>
    <w:p>
      <w:pPr>
        <w:pStyle w:val="P30"/>
        <w:framePr w:w="3921" w:h="376" w:hRule="exact" w:wrap="none" w:vAnchor="page" w:hAnchor="margin" w:x="6800" w:y="12761"/>
        <w:rPr>
          <w:rStyle w:val="C3"/>
          <w:rtl w:val="0"/>
        </w:rPr>
      </w:pPr>
    </w:p>
    <w:p>
      <w:pPr>
        <w:pStyle w:val="P31"/>
        <w:framePr w:w="3839" w:h="249"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důlní klimatizace, 28.5.2026 0:57:08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údržby, oprav klimatizačních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montáži, provozu a údržby sítě a zařízení klimatizace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principy dodržování bezpečnosti a ochrany zdraví při práci a požární ochrany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obsah provozního řádu chladicího zařízení (lhůty a způsob kontroly zařízení klimatizace)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 rámci modelové situace řídit údržbu nebo opravu klimatizačního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Vedení provozní a technické dokumentace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Zaznamenat předepsaným způsobem údaje o průběhu provozu a údržby chladicího zařízení podle § 23, vyhlášky ČBÚ č. 22/1989 Sb.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Zaznamenat předepsaným způsobem údaje o průběhu montáže a opravy chladicího zařízení do provozní a technické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důlní klimatizace, 28.5.2026 0:57:08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https://www.nsp.cz/jednotka-prace/vedouci-dulni-klimatizace#zdravotni-zpusobilost).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Řízení údržby, oprav klimatizačních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zadá autorizovaná osoba modelovou situaci, kterou uchazeč vyřeší a zodpoví doplňující otázky zkoušejícího.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důlní klimatizace, 28.5.2026 0:57:08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ve strojním oboru a alespoň 5 let odborné praxe v oblasti hornictví nebo ve funkci učitele praktického vyučování v oblasti hornictví.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strojařství a alespoň 5 let odborné praxe v oblasti hornictví nebo ve funkci učitele odborných předmětů v oblasti hornictví.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klimatizací,</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důlní klimatizace (chladicí agregáty, kompresory, chladicí potrubí, chladící medium, chladiče větrů, pojistné ventily),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výbušných plynů, radonu a dalších plynů,</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požívaná v důlní klimatizaci,</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řešící problematiku důlní klimatizace,</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mapová dokumentace důlní klimatizační sítě.</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Vedoucí důlní klimatizace, 28.5.2026 0:57:08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důlní klimatizace, 28.5.2026 0:57:08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důlní klimatizace, 28.5.2026 0:57:08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7CB2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34A1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0046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