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9E15B" Type="http://schemas.openxmlformats.org/officeDocument/2006/relationships/officeDocument" Target="/word/document.xml" /><Relationship Id="coreR5569E15B" Type="http://schemas.openxmlformats.org/package/2006/relationships/metadata/core-properties" Target="/docProps/core.xml" /><Relationship Id="customR5569E1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mytí, čištění a renovací interiérů a exteriérů vozidel (kód: 23-152-H)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Čištění interiéru a jeho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ošetření a renovace interiérové usně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Mytí exteriéru včetně dekontaminace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Mytí motorů a provedení ochranného nástřiku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Renovace laku broušením a leštěním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autolaků a jejich vlastnostech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Popis vad laků způsobených lakováním, užíváním nebo leštěním a jejich odstranění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Renovace předních i zadních světlometů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Provedení ochrany exteriérů a podvozku ochrannými přípravky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mytí, čištění a renovací interiérů a exteriérů vozidel, 20.10.2026 11:51:43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Alergická onemocnění kůže, dýchacích cest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Pozitivní alergická anamnéza.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Astma bronchiale či jiná prognosticky závažná alergická onemocnění.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technologických postupů podle dokumentace výrobce 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pečlivost prováděné práce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Čištění interiéru a jeho ošetření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 uchazeč vyčistí a ošetří minimálně jedno sedadlo, přístrojovou desku, vnitřní část jednoho kusu dveří a část podlahy.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Mytí exteriéru včetně dekontaminace,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uchazeč dané úkony provede jen na exponovaných znečištěných místech karoserie vozidla, minimálně na čelním okně 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Renovace laku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uchazeč dané úkony provede minimálně na 1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vad laků způsobených lakováním, užíváním nebo leštěním a jejich odstranění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uchazeč dané úkony provede jen na exponovaných místech karoserie vozidla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ochrany exteriérů a podvozku ochrannými přípravky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c) uchazeč dané úkony provede minimálně na 1 m² karoserie.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mytí, čištění a renovací interiérů a exteriérů vozidel, 20.10.2026 11:51:43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UMYEM,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mytí, čištění a renovací interiérů a exteriérů vozidel, 20.10.2026 11:51:43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11165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