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640A9" Type="http://schemas.openxmlformats.org/officeDocument/2006/relationships/officeDocument" Target="/word/document.xml" /><Relationship Id="coreR544640A9" Type="http://schemas.openxmlformats.org/package/2006/relationships/metadata/core-properties" Target="/docProps/core.xml" /><Relationship Id="customR544640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pro matracové potahy, 28.9.2026 12:44:14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28.9.2026 12:44:14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28.9.2026 12:44:14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28.9.2026 12:44:14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polotovarů pro matracové potahy, 28.9.2026 12:44:14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pro matracové potahy, 28.9.2026 12:44:14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Výrobce/výrobkyně polotovarů pro matracové potahy a střední vzdělání s maturitní zkouškou a alespoň 5 let odborné praxe v oblasti čalounické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pro matracové potahy, 28.9.2026 12:44:14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polotovarů pro matracové potahy, 28.9.2026 12:44:14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Výrobce/výrobkyně polotovarů pro matracové potahy, 28.9.2026 12:44:14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pro matracové potahy, 28.9.2026 12:44:14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2600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EA8A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C6B9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19388E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