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998DCF" Type="http://schemas.openxmlformats.org/officeDocument/2006/relationships/officeDocument" Target="/word/document.xml" /><Relationship Id="coreR2F998DCF" Type="http://schemas.openxmlformats.org/package/2006/relationships/metadata/core-properties" Target="/docProps/core.xml" /><Relationship Id="customR2F998D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Výrobce/výrobkyně polotovarů pro matracové potahy a střední vzdělání s maturitní zkouškou a alespoň 5 let odborné praxe v oblasti čalounické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pro matracové potahy, 18.10.2026 16:30:23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1D0B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FB362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72E5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9DE7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